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188A3">
      <w:pPr>
        <w:rPr>
          <w:rFonts w:ascii="仿宋" w:hAnsi="仿宋" w:eastAsia="仿宋"/>
          <w:b/>
          <w:bCs/>
          <w:color w:val="000000" w:themeColor="text1"/>
          <w:sz w:val="32"/>
          <w:szCs w:val="32"/>
          <w14:textFill>
            <w14:solidFill>
              <w14:schemeClr w14:val="tx1"/>
            </w14:solidFill>
          </w14:textFill>
        </w:rPr>
      </w:pPr>
    </w:p>
    <w:p w14:paraId="0FF97494">
      <w:pPr>
        <w:ind w:left="440"/>
        <w:jc w:val="center"/>
        <w:rPr>
          <w:rFonts w:ascii="仿宋" w:hAnsi="仿宋" w:eastAsia="仿宋"/>
          <w:b/>
          <w:bCs/>
          <w:color w:val="000000" w:themeColor="text1"/>
          <w:sz w:val="32"/>
          <w:szCs w:val="32"/>
          <w14:textFill>
            <w14:solidFill>
              <w14:schemeClr w14:val="tx1"/>
            </w14:solidFill>
          </w14:textFill>
        </w:rPr>
      </w:pPr>
    </w:p>
    <w:p w14:paraId="58B3EAAA">
      <w:pPr>
        <w:ind w:left="440"/>
        <w:jc w:val="center"/>
        <w:rPr>
          <w:rFonts w:ascii="仿宋" w:hAnsi="仿宋" w:eastAsia="仿宋"/>
          <w:b/>
          <w:bCs/>
          <w:color w:val="000000" w:themeColor="text1"/>
          <w:sz w:val="32"/>
          <w:szCs w:val="32"/>
          <w14:textFill>
            <w14:solidFill>
              <w14:schemeClr w14:val="tx1"/>
            </w14:solidFill>
          </w14:textFill>
        </w:rPr>
      </w:pPr>
    </w:p>
    <w:p w14:paraId="7F896DD3">
      <w:pPr>
        <w:ind w:left="440"/>
        <w:jc w:val="center"/>
        <w:rPr>
          <w:rFonts w:ascii="仿宋" w:hAnsi="仿宋" w:eastAsia="仿宋"/>
          <w:b/>
          <w:bCs/>
          <w:color w:val="000000" w:themeColor="text1"/>
          <w:sz w:val="32"/>
          <w:szCs w:val="32"/>
          <w14:textFill>
            <w14:solidFill>
              <w14:schemeClr w14:val="tx1"/>
            </w14:solidFill>
          </w14:textFill>
        </w:rPr>
      </w:pPr>
    </w:p>
    <w:p w14:paraId="56629E36">
      <w:pPr>
        <w:ind w:left="440"/>
        <w:jc w:val="center"/>
        <w:rPr>
          <w:rFonts w:ascii="仿宋" w:hAnsi="仿宋" w:eastAsia="仿宋"/>
          <w:b/>
          <w:bCs/>
          <w:color w:val="000000" w:themeColor="text1"/>
          <w:sz w:val="32"/>
          <w:szCs w:val="32"/>
          <w14:textFill>
            <w14:solidFill>
              <w14:schemeClr w14:val="tx1"/>
            </w14:solidFill>
          </w14:textFill>
        </w:rPr>
      </w:pPr>
      <w:bookmarkStart w:id="0" w:name="_Hlk17298387"/>
    </w:p>
    <w:p w14:paraId="6A143CD6">
      <w:pPr>
        <w:ind w:left="440"/>
        <w:jc w:val="center"/>
        <w:rPr>
          <w:rFonts w:ascii="仿宋" w:hAnsi="仿宋" w:eastAsia="仿宋"/>
          <w:b/>
          <w:bCs/>
          <w:color w:val="000000" w:themeColor="text1"/>
          <w:sz w:val="40"/>
          <w:szCs w:val="40"/>
          <w14:textFill>
            <w14:solidFill>
              <w14:schemeClr w14:val="tx1"/>
            </w14:solidFill>
          </w14:textFill>
        </w:rPr>
      </w:pPr>
    </w:p>
    <w:p w14:paraId="46738D9B">
      <w:pPr>
        <w:ind w:left="440"/>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b/>
          <w:bCs/>
          <w:color w:val="0000FF"/>
          <w:sz w:val="40"/>
          <w:szCs w:val="40"/>
          <w:lang w:val="en-US" w:eastAsia="zh-CN"/>
        </w:rPr>
        <w:t>住宅</w:t>
      </w:r>
      <w:r>
        <w:rPr>
          <w:rFonts w:hint="eastAsia" w:ascii="仿宋" w:hAnsi="仿宋" w:eastAsia="仿宋"/>
          <w:b/>
          <w:bCs/>
          <w:color w:val="0000FF"/>
          <w:sz w:val="40"/>
          <w:szCs w:val="40"/>
        </w:rPr>
        <w:t>智能门锁集中采购/标段招标技术需求书</w:t>
      </w:r>
      <w:bookmarkEnd w:id="0"/>
    </w:p>
    <w:p w14:paraId="367CBE70">
      <w:pPr>
        <w:ind w:left="440"/>
        <w:jc w:val="center"/>
        <w:rPr>
          <w:rFonts w:ascii="仿宋" w:hAnsi="仿宋" w:eastAsia="仿宋"/>
          <w:color w:val="000000" w:themeColor="text1"/>
          <w:sz w:val="28"/>
          <w:szCs w:val="28"/>
          <w14:textFill>
            <w14:solidFill>
              <w14:schemeClr w14:val="tx1"/>
            </w14:solidFill>
          </w14:textFill>
        </w:rPr>
      </w:pPr>
    </w:p>
    <w:p w14:paraId="04E47FA6">
      <w:pPr>
        <w:ind w:left="440"/>
        <w:jc w:val="center"/>
        <w:rPr>
          <w:rFonts w:ascii="仿宋" w:hAnsi="仿宋" w:eastAsia="仿宋"/>
          <w:color w:val="000000" w:themeColor="text1"/>
          <w:sz w:val="28"/>
          <w:szCs w:val="28"/>
          <w14:textFill>
            <w14:solidFill>
              <w14:schemeClr w14:val="tx1"/>
            </w14:solidFill>
          </w14:textFill>
        </w:rPr>
      </w:pPr>
    </w:p>
    <w:p w14:paraId="62F2467D">
      <w:pPr>
        <w:widowControl/>
        <w:jc w:val="left"/>
        <w:rPr>
          <w:rFonts w:ascii="仿宋" w:hAnsi="仿宋" w:eastAsia="仿宋"/>
          <w:color w:val="000000" w:themeColor="text1"/>
          <w:lang w:val="zh-CN"/>
          <w14:textFill>
            <w14:solidFill>
              <w14:schemeClr w14:val="tx1"/>
            </w14:solidFill>
          </w14:textFill>
        </w:rPr>
      </w:pPr>
      <w:r>
        <w:rPr>
          <w:rFonts w:ascii="仿宋" w:hAnsi="仿宋" w:eastAsia="仿宋"/>
          <w:color w:val="000000" w:themeColor="text1"/>
          <w:lang w:val="zh-CN"/>
          <w14:textFill>
            <w14:solidFill>
              <w14:schemeClr w14:val="tx1"/>
            </w14:solidFill>
          </w14:textFill>
        </w:rPr>
        <w:br w:type="page"/>
      </w:r>
    </w:p>
    <w:p w14:paraId="09AB0123">
      <w:pPr>
        <w:widowControl/>
        <w:jc w:val="left"/>
        <w:rPr>
          <w:rFonts w:ascii="仿宋" w:hAnsi="仿宋" w:eastAsia="仿宋"/>
          <w:color w:val="000000" w:themeColor="text1"/>
          <w:lang w:val="zh-CN"/>
          <w14:textFill>
            <w14:solidFill>
              <w14:schemeClr w14:val="tx1"/>
            </w14:solidFill>
          </w14:textFill>
        </w:rPr>
      </w:pPr>
    </w:p>
    <w:sdt>
      <w:sdtPr>
        <w:rPr>
          <w:rStyle w:val="22"/>
          <w:rFonts w:ascii="仿宋" w:hAnsi="仿宋" w:eastAsia="仿宋"/>
          <w:color w:val="000000" w:themeColor="text1"/>
          <w:sz w:val="24"/>
          <w:szCs w:val="24"/>
          <w14:textFill>
            <w14:solidFill>
              <w14:schemeClr w14:val="tx1"/>
            </w14:solidFill>
          </w14:textFill>
        </w:rPr>
        <w:id w:val="1712149624"/>
        <w:docPartObj>
          <w:docPartGallery w:val="Table of Contents"/>
          <w:docPartUnique/>
        </w:docPartObj>
      </w:sdtPr>
      <w:sdtEndPr>
        <w:rPr>
          <w:rStyle w:val="22"/>
          <w:rFonts w:ascii="仿宋" w:hAnsi="仿宋" w:eastAsia="仿宋"/>
          <w:color w:val="000000" w:themeColor="text1"/>
          <w:sz w:val="24"/>
          <w:szCs w:val="24"/>
          <w14:textFill>
            <w14:solidFill>
              <w14:schemeClr w14:val="tx1"/>
            </w14:solidFill>
          </w14:textFill>
        </w:rPr>
      </w:sdtEndPr>
      <w:sdtContent>
        <w:p w14:paraId="7FE75B58">
          <w:pPr>
            <w:pStyle w:val="13"/>
            <w:spacing w:line="360" w:lineRule="auto"/>
            <w:jc w:val="center"/>
            <w:rPr>
              <w:rFonts w:ascii="仿宋" w:hAnsi="仿宋" w:eastAsia="仿宋"/>
              <w:b/>
              <w:color w:val="000000" w:themeColor="text1"/>
              <w:szCs w:val="21"/>
              <w:lang w:val="zh-CN"/>
              <w14:textFill>
                <w14:solidFill>
                  <w14:schemeClr w14:val="tx1"/>
                </w14:solidFill>
              </w14:textFill>
            </w:rPr>
          </w:pPr>
          <w:r>
            <w:rPr>
              <w:rFonts w:ascii="仿宋" w:hAnsi="仿宋" w:eastAsia="仿宋"/>
              <w:b/>
              <w:color w:val="000000" w:themeColor="text1"/>
              <w:szCs w:val="21"/>
              <w:lang w:val="zh-CN"/>
              <w14:textFill>
                <w14:solidFill>
                  <w14:schemeClr w14:val="tx1"/>
                </w14:solidFill>
              </w14:textFill>
            </w:rPr>
            <w:t>目录</w:t>
          </w:r>
        </w:p>
        <w:p w14:paraId="31BE47C7">
          <w:pPr>
            <w:pStyle w:val="13"/>
            <w:spacing w:line="360" w:lineRule="auto"/>
            <w:rPr>
              <w:rFonts w:eastAsia="仿宋"/>
              <w:color w:val="000000" w:themeColor="text1"/>
              <w14:textFill>
                <w14:solidFill>
                  <w14:schemeClr w14:val="tx1"/>
                </w14:solidFill>
              </w14:textFill>
            </w:rPr>
          </w:pPr>
          <w:r>
            <w:rPr>
              <w:rStyle w:val="22"/>
              <w:rFonts w:ascii="仿宋" w:hAnsi="仿宋" w:eastAsia="仿宋"/>
              <w:color w:val="000000" w:themeColor="text1"/>
              <w:szCs w:val="21"/>
              <w14:textFill>
                <w14:solidFill>
                  <w14:schemeClr w14:val="tx1"/>
                </w14:solidFill>
              </w14:textFill>
            </w:rPr>
            <w:fldChar w:fldCharType="begin"/>
          </w:r>
          <w:r>
            <w:rPr>
              <w:rStyle w:val="22"/>
              <w:rFonts w:ascii="仿宋" w:hAnsi="仿宋" w:eastAsia="仿宋"/>
              <w:color w:val="000000" w:themeColor="text1"/>
              <w:szCs w:val="21"/>
              <w14:textFill>
                <w14:solidFill>
                  <w14:schemeClr w14:val="tx1"/>
                </w14:solidFill>
              </w14:textFill>
            </w:rPr>
            <w:instrText xml:space="preserve"> TOC \o "1-3" \h \z \u </w:instrText>
          </w:r>
          <w:r>
            <w:rPr>
              <w:rStyle w:val="22"/>
              <w:rFonts w:ascii="仿宋" w:hAnsi="仿宋" w:eastAsia="仿宋"/>
              <w:color w:val="000000" w:themeColor="text1"/>
              <w:szCs w:val="21"/>
              <w14:textFill>
                <w14:solidFill>
                  <w14:schemeClr w14:val="tx1"/>
                </w14:solidFill>
              </w14:textFill>
            </w:rPr>
            <w:fldChar w:fldCharType="separate"/>
          </w:r>
          <w:r>
            <w:fldChar w:fldCharType="begin"/>
          </w:r>
          <w:r>
            <w:instrText xml:space="preserve"> HYPERLINK \l "_Toc100580722" </w:instrText>
          </w:r>
          <w:r>
            <w:fldChar w:fldCharType="separate"/>
          </w:r>
          <w:r>
            <w:rPr>
              <w:rStyle w:val="22"/>
              <w:rFonts w:ascii="仿宋" w:hAnsi="仿宋" w:eastAsia="仿宋"/>
              <w:color w:val="000000" w:themeColor="text1"/>
              <w14:textFill>
                <w14:solidFill>
                  <w14:schemeClr w14:val="tx1"/>
                </w14:solidFill>
              </w14:textFill>
            </w:rPr>
            <w:t>一、范围</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_Toc100580722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4</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245BAFCE">
          <w:pPr>
            <w:pStyle w:val="13"/>
            <w:spacing w:line="360" w:lineRule="auto"/>
            <w:rPr>
              <w:rFonts w:eastAsia="仿宋"/>
              <w:color w:val="000000" w:themeColor="text1"/>
              <w14:textFill>
                <w14:solidFill>
                  <w14:schemeClr w14:val="tx1"/>
                </w14:solidFill>
              </w14:textFill>
            </w:rPr>
          </w:pPr>
          <w:r>
            <w:fldChar w:fldCharType="begin"/>
          </w:r>
          <w:r>
            <w:instrText xml:space="preserve"> HYPERLINK \l "_Toc100580723" </w:instrText>
          </w:r>
          <w:r>
            <w:fldChar w:fldCharType="separate"/>
          </w:r>
          <w:r>
            <w:rPr>
              <w:rStyle w:val="22"/>
              <w:rFonts w:ascii="仿宋" w:hAnsi="仿宋" w:eastAsia="仿宋"/>
              <w:color w:val="000000" w:themeColor="text1"/>
              <w14:textFill>
                <w14:solidFill>
                  <w14:schemeClr w14:val="tx1"/>
                </w14:solidFill>
              </w14:textFill>
            </w:rPr>
            <w:t>二、电子锁原材料（或产品部件）要求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_Toc100580723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4</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311AE9D9">
          <w:pPr>
            <w:pStyle w:val="13"/>
            <w:spacing w:line="360" w:lineRule="auto"/>
            <w:rPr>
              <w:rFonts w:eastAsia="仿宋"/>
              <w:color w:val="000000" w:themeColor="text1"/>
              <w14:textFill>
                <w14:solidFill>
                  <w14:schemeClr w14:val="tx1"/>
                </w14:solidFill>
              </w14:textFill>
            </w:rPr>
          </w:pPr>
          <w:r>
            <w:fldChar w:fldCharType="begin"/>
          </w:r>
          <w:r>
            <w:instrText xml:space="preserve"> HYPERLINK \l "_Toc100580724" </w:instrText>
          </w:r>
          <w:r>
            <w:fldChar w:fldCharType="separate"/>
          </w:r>
          <w:r>
            <w:rPr>
              <w:rStyle w:val="22"/>
              <w:rFonts w:ascii="仿宋" w:hAnsi="仿宋" w:eastAsia="仿宋"/>
              <w:color w:val="000000" w:themeColor="text1"/>
              <w14:textFill>
                <w14:solidFill>
                  <w14:schemeClr w14:val="tx1"/>
                </w14:solidFill>
              </w14:textFill>
            </w:rPr>
            <w:t>三、电子锁通用要求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_Toc100580724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4</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75792051">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"_Toc100580725" </w:instrText>
          </w:r>
          <w:r>
            <w:fldChar w:fldCharType="separate"/>
          </w:r>
          <w:r>
            <w:rPr>
              <w:rStyle w:val="22"/>
              <w:rFonts w:ascii="仿宋" w:hAnsi="仿宋" w:eastAsia="仿宋"/>
              <w:color w:val="000000" w:themeColor="text1"/>
              <w14:textFill>
                <w14:solidFill>
                  <w14:schemeClr w14:val="tx1"/>
                </w14:solidFill>
              </w14:textFill>
            </w:rPr>
            <w:t>3.1外观要求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_Toc100580725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4</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79882C01">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"_Toc100580726" </w:instrText>
          </w:r>
          <w:r>
            <w:fldChar w:fldCharType="separate"/>
          </w:r>
          <w:r>
            <w:rPr>
              <w:rStyle w:val="22"/>
              <w:rFonts w:ascii="仿宋" w:hAnsi="仿宋" w:eastAsia="仿宋"/>
              <w:color w:val="000000" w:themeColor="text1"/>
              <w14:textFill>
                <w14:solidFill>
                  <w14:schemeClr w14:val="tx1"/>
                </w14:solidFill>
              </w14:textFill>
            </w:rPr>
            <w:t>3.2外壳防护等级要求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_Toc100580726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4</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6B773120">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"_Toc100580727" </w:instrText>
          </w:r>
          <w:r>
            <w:fldChar w:fldCharType="separate"/>
          </w:r>
          <w:r>
            <w:rPr>
              <w:rStyle w:val="22"/>
              <w:rFonts w:ascii="仿宋" w:hAnsi="仿宋" w:eastAsia="仿宋"/>
              <w:color w:val="000000" w:themeColor="text1"/>
              <w14:textFill>
                <w14:solidFill>
                  <w14:schemeClr w14:val="tx1"/>
                </w14:solidFill>
              </w14:textFill>
            </w:rPr>
            <w:t>3.3稳定性</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_Toc100580727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4</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04D5EAE6">
          <w:pPr>
            <w:pStyle w:val="13"/>
            <w:spacing w:line="360" w:lineRule="auto"/>
            <w:rPr>
              <w:rFonts w:eastAsia="仿宋"/>
              <w:color w:val="000000" w:themeColor="text1"/>
              <w14:textFill>
                <w14:solidFill>
                  <w14:schemeClr w14:val="tx1"/>
                </w14:solidFill>
              </w14:textFill>
            </w:rPr>
          </w:pPr>
          <w:r>
            <w:fldChar w:fldCharType="begin"/>
          </w:r>
          <w:r>
            <w:instrText xml:space="preserve"> HYPERLINK \l "_Toc100580728" </w:instrText>
          </w:r>
          <w:r>
            <w:fldChar w:fldCharType="separate"/>
          </w:r>
          <w:r>
            <w:rPr>
              <w:rStyle w:val="22"/>
              <w:rFonts w:ascii="仿宋" w:hAnsi="仿宋" w:eastAsia="仿宋"/>
              <w:color w:val="000000" w:themeColor="text1"/>
              <w14:textFill>
                <w14:solidFill>
                  <w14:schemeClr w14:val="tx1"/>
                </w14:solidFill>
              </w14:textFill>
            </w:rPr>
            <w:t>四、电子锁功能要求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_Toc100580728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4</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1DE2D89E">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"_Toc100580729" </w:instrText>
          </w:r>
          <w:r>
            <w:fldChar w:fldCharType="separate"/>
          </w:r>
          <w:r>
            <w:rPr>
              <w:rStyle w:val="22"/>
              <w:rFonts w:ascii="仿宋" w:hAnsi="仿宋" w:eastAsia="仿宋"/>
              <w:color w:val="000000" w:themeColor="text1"/>
              <w14:textFill>
                <w14:solidFill>
                  <w14:schemeClr w14:val="tx1"/>
                </w14:solidFill>
              </w14:textFill>
            </w:rPr>
            <w:t>4.1信息保存</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_Toc100580729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4</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30A2986C">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"_Toc100580730" </w:instrText>
          </w:r>
          <w:r>
            <w:fldChar w:fldCharType="separate"/>
          </w:r>
          <w:r>
            <w:rPr>
              <w:rStyle w:val="22"/>
              <w:rFonts w:ascii="仿宋" w:hAnsi="仿宋" w:eastAsia="仿宋"/>
              <w:color w:val="000000" w:themeColor="text1"/>
              <w14:textFill>
                <w14:solidFill>
                  <w14:schemeClr w14:val="tx1"/>
                </w14:solidFill>
              </w14:textFill>
            </w:rPr>
            <w:t>4.2使用权限管理</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_Toc100580730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4</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2A5202EC">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"_Toc100580731" </w:instrText>
          </w:r>
          <w:r>
            <w:fldChar w:fldCharType="separate"/>
          </w:r>
          <w:r>
            <w:rPr>
              <w:rStyle w:val="22"/>
              <w:rFonts w:ascii="仿宋" w:hAnsi="仿宋" w:eastAsia="仿宋"/>
              <w:color w:val="000000" w:themeColor="text1"/>
              <w14:textFill>
                <w14:solidFill>
                  <w14:schemeClr w14:val="tx1"/>
                </w14:solidFill>
              </w14:textFill>
            </w:rPr>
            <w:t>4.3输入错误报警</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_Toc100580731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4</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0C759BD5">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"_Toc100580732" </w:instrText>
          </w:r>
          <w:r>
            <w:fldChar w:fldCharType="separate"/>
          </w:r>
          <w:r>
            <w:rPr>
              <w:rStyle w:val="22"/>
              <w:rFonts w:ascii="仿宋" w:hAnsi="仿宋" w:eastAsia="仿宋"/>
              <w:color w:val="000000" w:themeColor="text1"/>
              <w14:textFill>
                <w14:solidFill>
                  <w14:schemeClr w14:val="tx1"/>
                </w14:solidFill>
              </w14:textFill>
            </w:rPr>
            <w:t>4.4防拆报警</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_Toc100580732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4</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36836A67">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"_Toc100580733" </w:instrText>
          </w:r>
          <w:r>
            <w:fldChar w:fldCharType="separate"/>
          </w:r>
          <w:r>
            <w:rPr>
              <w:rStyle w:val="22"/>
              <w:rFonts w:ascii="仿宋" w:hAnsi="仿宋" w:eastAsia="仿宋"/>
              <w:color w:val="000000" w:themeColor="text1"/>
              <w14:textFill>
                <w14:solidFill>
                  <w14:schemeClr w14:val="tx1"/>
                </w14:solidFill>
              </w14:textFill>
            </w:rPr>
            <w:t>4.5事件记录</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_Toc100580733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5</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7C17662F">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"_Toc100580734" </w:instrText>
          </w:r>
          <w:r>
            <w:fldChar w:fldCharType="separate"/>
          </w:r>
          <w:r>
            <w:rPr>
              <w:rStyle w:val="22"/>
              <w:rFonts w:ascii="仿宋" w:hAnsi="仿宋" w:eastAsia="仿宋"/>
              <w:color w:val="000000" w:themeColor="text1"/>
              <w14:textFill>
                <w14:solidFill>
                  <w14:schemeClr w14:val="tx1"/>
                </w14:solidFill>
              </w14:textFill>
            </w:rPr>
            <w:t>4.6信息上传</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_Toc100580734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5</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36A2D4B0">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"_Toc100580735" </w:instrText>
          </w:r>
          <w:r>
            <w:fldChar w:fldCharType="separate"/>
          </w:r>
          <w:r>
            <w:rPr>
              <w:rStyle w:val="22"/>
              <w:rFonts w:ascii="仿宋" w:hAnsi="仿宋" w:eastAsia="仿宋"/>
              <w:color w:val="000000" w:themeColor="text1"/>
              <w14:textFill>
                <w14:solidFill>
                  <w14:schemeClr w14:val="tx1"/>
                </w14:solidFill>
              </w14:textFill>
            </w:rPr>
            <w:t>4.7计时误差</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_Toc100580735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5</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7907C554">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"_Toc100580736" </w:instrText>
          </w:r>
          <w:r>
            <w:fldChar w:fldCharType="separate"/>
          </w:r>
          <w:r>
            <w:rPr>
              <w:rStyle w:val="22"/>
              <w:rFonts w:ascii="仿宋" w:hAnsi="仿宋" w:eastAsia="仿宋"/>
              <w:color w:val="000000" w:themeColor="text1"/>
              <w14:textFill>
                <w14:solidFill>
                  <w14:schemeClr w14:val="tx1"/>
                </w14:solidFill>
              </w14:textFill>
            </w:rPr>
            <w:t>4.8使用时限设置</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_Toc100580736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5</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34A9FAB5">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"_Toc100580737" </w:instrText>
          </w:r>
          <w:r>
            <w:fldChar w:fldCharType="separate"/>
          </w:r>
          <w:r>
            <w:rPr>
              <w:rStyle w:val="22"/>
              <w:rFonts w:ascii="仿宋" w:hAnsi="仿宋" w:eastAsia="仿宋"/>
              <w:color w:val="000000" w:themeColor="text1"/>
              <w14:textFill>
                <w14:solidFill>
                  <w14:schemeClr w14:val="tx1"/>
                </w14:solidFill>
              </w14:textFill>
            </w:rPr>
            <w:t>4.9访问控制</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_Toc100580737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5</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1EE75EB0">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"_Toc100580738" </w:instrText>
          </w:r>
          <w:r>
            <w:fldChar w:fldCharType="separate"/>
          </w:r>
          <w:r>
            <w:rPr>
              <w:rStyle w:val="22"/>
              <w:rFonts w:ascii="仿宋" w:hAnsi="仿宋" w:eastAsia="仿宋"/>
              <w:color w:val="000000" w:themeColor="text1"/>
              <w14:textFill>
                <w14:solidFill>
                  <w14:schemeClr w14:val="tx1"/>
                </w14:solidFill>
              </w14:textFill>
            </w:rPr>
            <w:t>4.10胁迫报警</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_Toc100580738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5</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2ECAFFBB">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"_Toc100580739" </w:instrText>
          </w:r>
          <w:r>
            <w:fldChar w:fldCharType="separate"/>
          </w:r>
          <w:r>
            <w:rPr>
              <w:rStyle w:val="22"/>
              <w:rFonts w:ascii="仿宋" w:hAnsi="仿宋" w:eastAsia="仿宋"/>
              <w:color w:val="000000" w:themeColor="text1"/>
              <w14:textFill>
                <w14:solidFill>
                  <w14:schemeClr w14:val="tx1"/>
                </w14:solidFill>
              </w14:textFill>
            </w:rPr>
            <w:t>4.11编码组合数要求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_Toc100580739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5</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790B05A1">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"_Toc100580740" </w:instrText>
          </w:r>
          <w:r>
            <w:fldChar w:fldCharType="separate"/>
          </w:r>
          <w:r>
            <w:rPr>
              <w:rStyle w:val="22"/>
              <w:rFonts w:ascii="仿宋" w:hAnsi="仿宋" w:eastAsia="仿宋"/>
              <w:color w:val="000000" w:themeColor="text1"/>
              <w14:textFill>
                <w14:solidFill>
                  <w14:schemeClr w14:val="tx1"/>
                </w14:solidFill>
              </w14:textFill>
            </w:rPr>
            <w:t>4.12误识率要求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_Toc100580740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5</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47898EBE">
          <w:pPr>
            <w:pStyle w:val="13"/>
            <w:spacing w:line="360" w:lineRule="auto"/>
            <w:rPr>
              <w:rFonts w:eastAsia="仿宋"/>
              <w:color w:val="000000" w:themeColor="text1"/>
              <w14:textFill>
                <w14:solidFill>
                  <w14:schemeClr w14:val="tx1"/>
                </w14:solidFill>
              </w14:textFill>
            </w:rPr>
          </w:pPr>
          <w:r>
            <w:fldChar w:fldCharType="begin"/>
          </w:r>
          <w:r>
            <w:instrText xml:space="preserve"> HYPERLINK \l "_Toc100580741" </w:instrText>
          </w:r>
          <w:r>
            <w:fldChar w:fldCharType="separate"/>
          </w:r>
          <w:r>
            <w:rPr>
              <w:rStyle w:val="22"/>
              <w:rFonts w:ascii="仿宋" w:hAnsi="仿宋" w:eastAsia="仿宋"/>
              <w:color w:val="000000" w:themeColor="text1"/>
              <w14:textFill>
                <w14:solidFill>
                  <w14:schemeClr w14:val="tx1"/>
                </w14:solidFill>
              </w14:textFill>
            </w:rPr>
            <w:t>五、电子锁锁舌及其强度要求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_Toc100580741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6</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0C440547">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"_Toc100580742" </w:instrText>
          </w:r>
          <w:r>
            <w:fldChar w:fldCharType="separate"/>
          </w:r>
          <w:r>
            <w:rPr>
              <w:rStyle w:val="22"/>
              <w:rFonts w:ascii="仿宋" w:hAnsi="仿宋" w:eastAsia="仿宋"/>
              <w:color w:val="000000" w:themeColor="text1"/>
              <w14:textFill>
                <w14:solidFill>
                  <w14:schemeClr w14:val="tx1"/>
                </w14:solidFill>
              </w14:textFill>
            </w:rPr>
            <w:t>5.1主锁舌伸出长度要求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_Toc100580742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6</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44F9A932">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"_Toc100580743" </w:instrText>
          </w:r>
          <w:r>
            <w:fldChar w:fldCharType="separate"/>
          </w:r>
          <w:r>
            <w:rPr>
              <w:rStyle w:val="22"/>
              <w:rFonts w:ascii="仿宋" w:hAnsi="仿宋" w:eastAsia="仿宋"/>
              <w:color w:val="000000" w:themeColor="text1"/>
              <w14:textFill>
                <w14:solidFill>
                  <w14:schemeClr w14:val="tx1"/>
                </w14:solidFill>
              </w14:textFill>
            </w:rPr>
            <w:t>5.2主锁舌灵活度要求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_Toc100580743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6</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44806D8E">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"_Toc100580744" </w:instrText>
          </w:r>
          <w:r>
            <w:fldChar w:fldCharType="separate"/>
          </w:r>
          <w:r>
            <w:rPr>
              <w:rStyle w:val="22"/>
              <w:rFonts w:ascii="仿宋" w:hAnsi="仿宋" w:eastAsia="仿宋"/>
              <w:color w:val="000000" w:themeColor="text1"/>
              <w14:textFill>
                <w14:solidFill>
                  <w14:schemeClr w14:val="tx1"/>
                </w14:solidFill>
              </w14:textFill>
            </w:rPr>
            <w:t>5.3强度要求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_Toc100580744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7</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64E1F313">
          <w:pPr>
            <w:pStyle w:val="13"/>
            <w:spacing w:line="360" w:lineRule="auto"/>
            <w:rPr>
              <w:rFonts w:eastAsia="仿宋"/>
              <w:color w:val="000000" w:themeColor="text1"/>
              <w14:textFill>
                <w14:solidFill>
                  <w14:schemeClr w14:val="tx1"/>
                </w14:solidFill>
              </w14:textFill>
            </w:rPr>
          </w:pPr>
          <w:r>
            <w:fldChar w:fldCharType="begin"/>
          </w:r>
          <w:r>
            <w:instrText xml:space="preserve"> HYPERLINK \l "_Toc100580745" </w:instrText>
          </w:r>
          <w:r>
            <w:fldChar w:fldCharType="separate"/>
          </w:r>
          <w:r>
            <w:rPr>
              <w:rStyle w:val="22"/>
              <w:rFonts w:ascii="仿宋" w:hAnsi="仿宋" w:eastAsia="仿宋"/>
              <w:color w:val="000000" w:themeColor="text1"/>
              <w14:textFill>
                <w14:solidFill>
                  <w14:schemeClr w14:val="tx1"/>
                </w14:solidFill>
              </w14:textFill>
            </w:rPr>
            <w:t>六、电子锁配件及功能要求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_Toc100580745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7</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4421D805">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"_Toc100580746" </w:instrText>
          </w:r>
          <w:r>
            <w:fldChar w:fldCharType="separate"/>
          </w:r>
          <w:r>
            <w:rPr>
              <w:rStyle w:val="22"/>
              <w:rFonts w:ascii="仿宋" w:hAnsi="仿宋" w:eastAsia="仿宋"/>
              <w:color w:val="000000" w:themeColor="text1"/>
              <w14:textFill>
                <w14:solidFill>
                  <w14:schemeClr w14:val="tx1"/>
                </w14:solidFill>
              </w14:textFill>
            </w:rPr>
            <w:t>6.1钥匙要求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_Toc100580746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7</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42A2D19A">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"_Toc100580747" </w:instrText>
          </w:r>
          <w:r>
            <w:fldChar w:fldCharType="separate"/>
          </w:r>
          <w:r>
            <w:rPr>
              <w:rStyle w:val="22"/>
              <w:rFonts w:ascii="仿宋" w:hAnsi="仿宋" w:eastAsia="仿宋"/>
              <w:color w:val="000000" w:themeColor="text1"/>
              <w14:textFill>
                <w14:solidFill>
                  <w14:schemeClr w14:val="tx1"/>
                </w14:solidFill>
              </w14:textFill>
            </w:rPr>
            <w:t>6.2耐久性</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_Toc100580747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7</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576BBF42">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"_Toc100580748" </w:instrText>
          </w:r>
          <w:r>
            <w:fldChar w:fldCharType="separate"/>
          </w:r>
          <w:r>
            <w:rPr>
              <w:rStyle w:val="22"/>
              <w:rFonts w:ascii="仿宋" w:hAnsi="仿宋" w:eastAsia="仿宋"/>
              <w:color w:val="000000" w:themeColor="text1"/>
              <w14:textFill>
                <w14:solidFill>
                  <w14:schemeClr w14:val="tx1"/>
                </w14:solidFill>
              </w14:textFill>
            </w:rPr>
            <w:t>6.3按键寿命</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_Toc100580748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7</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508667C1">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"_Toc100580749" </w:instrText>
          </w:r>
          <w:r>
            <w:fldChar w:fldCharType="separate"/>
          </w:r>
          <w:r>
            <w:rPr>
              <w:rStyle w:val="22"/>
              <w:rFonts w:ascii="仿宋" w:hAnsi="仿宋" w:eastAsia="仿宋"/>
              <w:color w:val="000000" w:themeColor="text1"/>
              <w14:textFill>
                <w14:solidFill>
                  <w14:schemeClr w14:val="tx1"/>
                </w14:solidFill>
              </w14:textFill>
            </w:rPr>
            <w:t>6.4防技术开启要求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_Toc100580749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7</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10E6231F">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"_Toc100580750" </w:instrText>
          </w:r>
          <w:r>
            <w:fldChar w:fldCharType="separate"/>
          </w:r>
          <w:r>
            <w:rPr>
              <w:rStyle w:val="22"/>
              <w:rFonts w:ascii="仿宋" w:hAnsi="仿宋" w:eastAsia="仿宋"/>
              <w:color w:val="000000" w:themeColor="text1"/>
              <w14:textFill>
                <w14:solidFill>
                  <w14:schemeClr w14:val="tx1"/>
                </w14:solidFill>
              </w14:textFill>
            </w:rPr>
            <w:t>6.5应急机械防盗锁头</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_Toc100580750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8</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17054E19">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"_Toc100580751" </w:instrText>
          </w:r>
          <w:r>
            <w:fldChar w:fldCharType="separate"/>
          </w:r>
          <w:r>
            <w:rPr>
              <w:rStyle w:val="22"/>
              <w:rFonts w:ascii="仿宋" w:hAnsi="仿宋" w:eastAsia="仿宋"/>
              <w:color w:val="000000" w:themeColor="text1"/>
              <w14:textFill>
                <w14:solidFill>
                  <w14:schemeClr w14:val="tx1"/>
                </w14:solidFill>
              </w14:textFill>
            </w:rPr>
            <w:t>6.6电源</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_Toc100580751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8</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69360E75">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"_Toc100580752" </w:instrText>
          </w:r>
          <w:r>
            <w:fldChar w:fldCharType="separate"/>
          </w:r>
          <w:r>
            <w:rPr>
              <w:rStyle w:val="22"/>
              <w:rFonts w:ascii="仿宋" w:hAnsi="仿宋" w:eastAsia="仿宋"/>
              <w:color w:val="000000" w:themeColor="text1"/>
              <w14:textFill>
                <w14:solidFill>
                  <w14:schemeClr w14:val="tx1"/>
                </w14:solidFill>
              </w14:textFill>
            </w:rPr>
            <w:t>6.7环境适应性</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_Toc100580752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8</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07E4B97C">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"_Toc100580753" </w:instrText>
          </w:r>
          <w:r>
            <w:fldChar w:fldCharType="separate"/>
          </w:r>
          <w:r>
            <w:rPr>
              <w:rStyle w:val="22"/>
              <w:rFonts w:ascii="仿宋" w:hAnsi="仿宋" w:eastAsia="仿宋"/>
              <w:color w:val="000000" w:themeColor="text1"/>
              <w14:textFill>
                <w14:solidFill>
                  <w14:schemeClr w14:val="tx1"/>
                </w14:solidFill>
              </w14:textFill>
            </w:rPr>
            <w:t>6.8电磁兼容</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_Toc100580753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9</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16FF2784">
          <w:pPr>
            <w:pStyle w:val="13"/>
            <w:spacing w:line="360" w:lineRule="auto"/>
            <w:rPr>
              <w:rFonts w:eastAsia="仿宋"/>
              <w:color w:val="000000" w:themeColor="text1"/>
              <w14:textFill>
                <w14:solidFill>
                  <w14:schemeClr w14:val="tx1"/>
                </w14:solidFill>
              </w14:textFill>
            </w:rPr>
          </w:pPr>
          <w:r>
            <w:fldChar w:fldCharType="begin"/>
          </w:r>
          <w:r>
            <w:instrText xml:space="preserve"> HYPERLINK \l "_Toc100580754" </w:instrText>
          </w:r>
          <w:r>
            <w:fldChar w:fldCharType="separate"/>
          </w:r>
          <w:r>
            <w:rPr>
              <w:rStyle w:val="22"/>
              <w:rFonts w:ascii="仿宋" w:hAnsi="仿宋" w:eastAsia="仿宋"/>
              <w:color w:val="000000" w:themeColor="text1"/>
              <w14:textFill>
                <w14:solidFill>
                  <w14:schemeClr w14:val="tx1"/>
                </w14:solidFill>
              </w14:textFill>
            </w:rPr>
            <w:t>七、电子锁安全性能要求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_Toc100580754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9</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33EC9B81">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"_Toc100580755" </w:instrText>
          </w:r>
          <w:r>
            <w:fldChar w:fldCharType="separate"/>
          </w:r>
          <w:r>
            <w:rPr>
              <w:rStyle w:val="22"/>
              <w:rFonts w:ascii="仿宋" w:hAnsi="仿宋" w:eastAsia="仿宋"/>
              <w:color w:val="000000" w:themeColor="text1"/>
              <w14:textFill>
                <w14:solidFill>
                  <w14:schemeClr w14:val="tx1"/>
                </w14:solidFill>
              </w14:textFill>
            </w:rPr>
            <w:t>7.1一般安全性</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_Toc100580755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9</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4A269194">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"_Toc100580756" </w:instrText>
          </w:r>
          <w:r>
            <w:fldChar w:fldCharType="separate"/>
          </w:r>
          <w:r>
            <w:rPr>
              <w:rStyle w:val="22"/>
              <w:rFonts w:ascii="仿宋" w:hAnsi="仿宋" w:eastAsia="仿宋"/>
              <w:color w:val="000000" w:themeColor="text1"/>
              <w14:textFill>
                <w14:solidFill>
                  <w14:schemeClr w14:val="tx1"/>
                </w14:solidFill>
              </w14:textFill>
            </w:rPr>
            <w:t>7.1.5电池极性反接</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_Toc100580756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10</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2BF231BF">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"_Toc100580757" </w:instrText>
          </w:r>
          <w:r>
            <w:fldChar w:fldCharType="separate"/>
          </w:r>
          <w:r>
            <w:rPr>
              <w:rStyle w:val="22"/>
              <w:rFonts w:ascii="仿宋" w:hAnsi="仿宋" w:eastAsia="仿宋"/>
              <w:color w:val="000000" w:themeColor="text1"/>
              <w14:textFill>
                <w14:solidFill>
                  <w14:schemeClr w14:val="tx1"/>
                </w14:solidFill>
              </w14:textFill>
            </w:rPr>
            <w:t>7.2识别方式安全</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_Toc100580757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10</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6C135D1C">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"_Toc100580758" </w:instrText>
          </w:r>
          <w:r>
            <w:fldChar w:fldCharType="separate"/>
          </w:r>
          <w:r>
            <w:rPr>
              <w:rStyle w:val="22"/>
              <w:rFonts w:ascii="仿宋" w:hAnsi="仿宋" w:eastAsia="仿宋"/>
              <w:color w:val="000000" w:themeColor="text1"/>
              <w14:textFill>
                <w14:solidFill>
                  <w14:schemeClr w14:val="tx1"/>
                </w14:solidFill>
              </w14:textFill>
            </w:rPr>
            <w:t>7.3通信安全</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_Toc100580758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10</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1026BC61">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"_Toc100580759" </w:instrText>
          </w:r>
          <w:r>
            <w:fldChar w:fldCharType="separate"/>
          </w:r>
          <w:r>
            <w:rPr>
              <w:rStyle w:val="22"/>
              <w:rFonts w:ascii="仿宋" w:hAnsi="仿宋" w:eastAsia="仿宋"/>
              <w:color w:val="000000" w:themeColor="text1"/>
              <w14:textFill>
                <w14:solidFill>
                  <w14:schemeClr w14:val="tx1"/>
                </w14:solidFill>
              </w14:textFill>
            </w:rPr>
            <w:t>7.4功能安全</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_Toc100580759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10</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3DD11691">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"_Toc100580760" </w:instrText>
          </w:r>
          <w:r>
            <w:fldChar w:fldCharType="separate"/>
          </w:r>
          <w:r>
            <w:rPr>
              <w:rStyle w:val="22"/>
              <w:rFonts w:ascii="仿宋" w:hAnsi="仿宋" w:eastAsia="仿宋"/>
              <w:color w:val="000000" w:themeColor="text1"/>
              <w14:textFill>
                <w14:solidFill>
                  <w14:schemeClr w14:val="tx1"/>
                </w14:solidFill>
              </w14:textFill>
            </w:rPr>
            <w:t>7.5移动应用</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_Toc100580760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11</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2BF44CFA">
          <w:pPr>
            <w:pStyle w:val="13"/>
            <w:spacing w:line="360" w:lineRule="auto"/>
            <w:rPr>
              <w:rFonts w:eastAsia="仿宋"/>
              <w:color w:val="000000" w:themeColor="text1"/>
              <w14:textFill>
                <w14:solidFill>
                  <w14:schemeClr w14:val="tx1"/>
                </w14:solidFill>
              </w14:textFill>
            </w:rPr>
          </w:pPr>
          <w:r>
            <w:fldChar w:fldCharType="begin"/>
          </w:r>
          <w:r>
            <w:instrText xml:space="preserve"> HYPERLINK \l "_Toc100580761" </w:instrText>
          </w:r>
          <w:r>
            <w:fldChar w:fldCharType="separate"/>
          </w:r>
          <w:r>
            <w:rPr>
              <w:rStyle w:val="22"/>
              <w:rFonts w:ascii="仿宋" w:hAnsi="仿宋" w:eastAsia="仿宋"/>
              <w:color w:val="000000" w:themeColor="text1"/>
              <w14:textFill>
                <w14:solidFill>
                  <w14:schemeClr w14:val="tx1"/>
                </w14:solidFill>
              </w14:textFill>
            </w:rPr>
            <w:t>八、抽样规则</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_Toc100580761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11</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2F43095D">
          <w:pPr>
            <w:pStyle w:val="13"/>
            <w:spacing w:line="360" w:lineRule="auto"/>
            <w:rPr>
              <w:rFonts w:eastAsia="仿宋"/>
              <w:color w:val="000000" w:themeColor="text1"/>
              <w14:textFill>
                <w14:solidFill>
                  <w14:schemeClr w14:val="tx1"/>
                </w14:solidFill>
              </w14:textFill>
            </w:rPr>
          </w:pPr>
          <w:r>
            <w:fldChar w:fldCharType="begin"/>
          </w:r>
          <w:r>
            <w:instrText xml:space="preserve"> HYPERLINK \l "_Toc100580762" </w:instrText>
          </w:r>
          <w:r>
            <w:fldChar w:fldCharType="separate"/>
          </w:r>
          <w:r>
            <w:rPr>
              <w:rStyle w:val="22"/>
              <w:rFonts w:ascii="仿宋" w:hAnsi="仿宋" w:eastAsia="仿宋"/>
              <w:color w:val="000000" w:themeColor="text1"/>
              <w14:textFill>
                <w14:solidFill>
                  <w14:schemeClr w14:val="tx1"/>
                </w14:solidFill>
              </w14:textFill>
            </w:rPr>
            <w:t>九、现行规范清单</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_Toc100580762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11</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30384475">
          <w:pPr>
            <w:pStyle w:val="13"/>
            <w:spacing w:line="360" w:lineRule="auto"/>
            <w:rPr>
              <w:rFonts w:eastAsia="仿宋"/>
              <w:color w:val="000000" w:themeColor="text1"/>
              <w14:textFill>
                <w14:solidFill>
                  <w14:schemeClr w14:val="tx1"/>
                </w14:solidFill>
              </w14:textFill>
            </w:rPr>
          </w:pPr>
          <w:r>
            <w:fldChar w:fldCharType="begin"/>
          </w:r>
          <w:r>
            <w:instrText xml:space="preserve"> HYPERLINK \l "_Toc100580763" </w:instrText>
          </w:r>
          <w:r>
            <w:fldChar w:fldCharType="separate"/>
          </w:r>
          <w:r>
            <w:rPr>
              <w:rStyle w:val="22"/>
              <w:rFonts w:ascii="仿宋" w:hAnsi="仿宋" w:eastAsia="仿宋"/>
              <w:color w:val="000000" w:themeColor="text1"/>
              <w14:textFill>
                <w14:solidFill>
                  <w14:schemeClr w14:val="tx1"/>
                </w14:solidFill>
              </w14:textFill>
            </w:rPr>
            <w:t>附件</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_Toc100580763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11</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0DB9856F">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"_Toc100580764" </w:instrText>
          </w:r>
          <w:r>
            <w:fldChar w:fldCharType="separate"/>
          </w:r>
          <w:r>
            <w:rPr>
              <w:rStyle w:val="22"/>
              <w:rFonts w:eastAsia="仿宋"/>
              <w:color w:val="000000" w:themeColor="text1"/>
              <w14:textFill>
                <w14:solidFill>
                  <w14:schemeClr w14:val="tx1"/>
                </w14:solidFill>
              </w14:textFill>
            </w:rPr>
            <w:t>安装配合要求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_Toc100580764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11</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4E4284B3">
          <w:pPr>
            <w:pStyle w:val="15"/>
            <w:tabs>
              <w:tab w:val="right" w:leader="dot" w:pos="8296"/>
            </w:tabs>
            <w:spacing w:line="360" w:lineRule="auto"/>
            <w:rPr>
              <w:rFonts w:eastAsia="仿宋"/>
              <w:color w:val="000000" w:themeColor="text1"/>
              <w14:textFill>
                <w14:solidFill>
                  <w14:schemeClr w14:val="tx1"/>
                </w14:solidFill>
              </w14:textFill>
            </w:rPr>
          </w:pPr>
          <w:r>
            <w:fldChar w:fldCharType="begin"/>
          </w:r>
          <w:r>
            <w:instrText xml:space="preserve"> HYPERLINK \l "_Toc100580765" </w:instrText>
          </w:r>
          <w:r>
            <w:fldChar w:fldCharType="separate"/>
          </w:r>
          <w:r>
            <w:rPr>
              <w:rStyle w:val="22"/>
              <w:rFonts w:eastAsia="仿宋"/>
              <w:color w:val="000000" w:themeColor="text1"/>
              <w14:textFill>
                <w14:solidFill>
                  <w14:schemeClr w14:val="tx1"/>
                </w14:solidFill>
              </w14:textFill>
            </w:rPr>
            <w:t>保修及质量要求</w:t>
          </w:r>
          <w:r>
            <w:rPr>
              <w:rFonts w:eastAsia="仿宋"/>
              <w:color w:val="000000" w:themeColor="text1"/>
              <w14:textFill>
                <w14:solidFill>
                  <w14:schemeClr w14:val="tx1"/>
                </w14:solidFill>
              </w14:textFill>
            </w:rPr>
            <w:tab/>
          </w:r>
          <w:r>
            <w:rPr>
              <w:rFonts w:eastAsia="仿宋"/>
              <w:color w:val="000000" w:themeColor="text1"/>
              <w14:textFill>
                <w14:solidFill>
                  <w14:schemeClr w14:val="tx1"/>
                </w14:solidFill>
              </w14:textFill>
            </w:rPr>
            <w:fldChar w:fldCharType="begin"/>
          </w:r>
          <w:r>
            <w:rPr>
              <w:rFonts w:eastAsia="仿宋"/>
              <w:color w:val="000000" w:themeColor="text1"/>
              <w14:textFill>
                <w14:solidFill>
                  <w14:schemeClr w14:val="tx1"/>
                </w14:solidFill>
              </w14:textFill>
            </w:rPr>
            <w:instrText xml:space="preserve"> PAGEREF _Toc100580765 \h </w:instrText>
          </w:r>
          <w:r>
            <w:rPr>
              <w:rFonts w:eastAsia="仿宋"/>
              <w:color w:val="000000" w:themeColor="text1"/>
              <w14:textFill>
                <w14:solidFill>
                  <w14:schemeClr w14:val="tx1"/>
                </w14:solidFill>
              </w14:textFill>
            </w:rPr>
            <w:fldChar w:fldCharType="separate"/>
          </w:r>
          <w:r>
            <w:rPr>
              <w:rFonts w:eastAsia="仿宋"/>
              <w:color w:val="000000" w:themeColor="text1"/>
              <w14:textFill>
                <w14:solidFill>
                  <w14:schemeClr w14:val="tx1"/>
                </w14:solidFill>
              </w14:textFill>
            </w:rPr>
            <w:t>12</w:t>
          </w:r>
          <w:r>
            <w:rPr>
              <w:rFonts w:eastAsia="仿宋"/>
              <w:color w:val="000000" w:themeColor="text1"/>
              <w14:textFill>
                <w14:solidFill>
                  <w14:schemeClr w14:val="tx1"/>
                </w14:solidFill>
              </w14:textFill>
            </w:rPr>
            <w:fldChar w:fldCharType="end"/>
          </w:r>
          <w:r>
            <w:rPr>
              <w:rFonts w:eastAsia="仿宋"/>
              <w:color w:val="000000" w:themeColor="text1"/>
              <w14:textFill>
                <w14:solidFill>
                  <w14:schemeClr w14:val="tx1"/>
                </w14:solidFill>
              </w14:textFill>
            </w:rPr>
            <w:fldChar w:fldCharType="end"/>
          </w:r>
        </w:p>
        <w:p w14:paraId="661821FF">
          <w:pPr>
            <w:pStyle w:val="13"/>
            <w:tabs>
              <w:tab w:val="left" w:pos="630"/>
            </w:tabs>
            <w:spacing w:line="360" w:lineRule="auto"/>
            <w:rPr>
              <w:rStyle w:val="22"/>
              <w:rFonts w:ascii="仿宋" w:hAnsi="仿宋" w:eastAsia="仿宋"/>
              <w:color w:val="000000" w:themeColor="text1"/>
              <w:szCs w:val="21"/>
              <w14:textFill>
                <w14:solidFill>
                  <w14:schemeClr w14:val="tx1"/>
                </w14:solidFill>
              </w14:textFill>
            </w:rPr>
          </w:pPr>
          <w:r>
            <w:rPr>
              <w:rStyle w:val="22"/>
              <w:rFonts w:ascii="仿宋" w:hAnsi="仿宋" w:eastAsia="仿宋"/>
              <w:color w:val="000000" w:themeColor="text1"/>
              <w:szCs w:val="21"/>
              <w14:textFill>
                <w14:solidFill>
                  <w14:schemeClr w14:val="tx1"/>
                </w14:solidFill>
              </w14:textFill>
            </w:rPr>
            <w:fldChar w:fldCharType="end"/>
          </w:r>
          <w:r>
            <w:rPr>
              <w:rStyle w:val="22"/>
              <w:rFonts w:ascii="仿宋" w:hAnsi="仿宋" w:eastAsia="仿宋"/>
              <w:color w:val="000000" w:themeColor="text1"/>
              <w:sz w:val="18"/>
              <w:szCs w:val="18"/>
              <w14:textFill>
                <w14:solidFill>
                  <w14:schemeClr w14:val="tx1"/>
                </w14:solidFill>
              </w14:textFill>
            </w:rPr>
            <w:br w:type="page"/>
          </w:r>
        </w:p>
        <w:p w14:paraId="3A1F6A33">
          <w:pPr>
            <w:pStyle w:val="13"/>
            <w:tabs>
              <w:tab w:val="left" w:pos="630"/>
            </w:tabs>
            <w:spacing w:line="360" w:lineRule="auto"/>
            <w:rPr>
              <w:rFonts w:ascii="仿宋" w:hAnsi="仿宋" w:eastAsia="仿宋"/>
              <w:color w:val="000000" w:themeColor="text1"/>
              <w:sz w:val="24"/>
              <w:szCs w:val="24"/>
              <w:u w:val="single"/>
              <w14:textFill>
                <w14:solidFill>
                  <w14:schemeClr w14:val="tx1"/>
                </w14:solidFill>
              </w14:textFill>
            </w:rPr>
          </w:pPr>
        </w:p>
      </w:sdtContent>
    </w:sdt>
    <w:p w14:paraId="58BB77C8">
      <w:pPr>
        <w:pStyle w:val="16"/>
        <w:rPr>
          <w:rFonts w:ascii="仿宋" w:hAnsi="仿宋"/>
          <w:color w:val="000000" w:themeColor="text1"/>
          <w14:textFill>
            <w14:solidFill>
              <w14:schemeClr w14:val="tx1"/>
            </w14:solidFill>
          </w14:textFill>
        </w:rPr>
      </w:pPr>
      <w:bookmarkStart w:id="1" w:name="_Hlk17298296"/>
      <w:bookmarkEnd w:id="1"/>
      <w:bookmarkStart w:id="2" w:name="_Toc100580722"/>
      <w:bookmarkStart w:id="3" w:name="_Hlk17297915"/>
      <w:r>
        <w:rPr>
          <w:rFonts w:hint="eastAsia" w:ascii="仿宋" w:hAnsi="仿宋"/>
          <w:color w:val="000000" w:themeColor="text1"/>
          <w14:textFill>
            <w14:solidFill>
              <w14:schemeClr w14:val="tx1"/>
            </w14:solidFill>
          </w14:textFill>
        </w:rPr>
        <w:t>一、范围</w:t>
      </w:r>
      <w:bookmarkEnd w:id="2"/>
    </w:p>
    <w:p w14:paraId="74182C1C">
      <w:pPr>
        <w:adjustRightInd w:val="0"/>
        <w:spacing w:line="360" w:lineRule="auto"/>
        <w:ind w:firstLine="440" w:firstLineChars="200"/>
        <w:rPr>
          <w:rFonts w:ascii="仿宋" w:hAnsi="仿宋" w:eastAsia="仿宋"/>
          <w:color w:val="000000" w:themeColor="text1"/>
          <w:sz w:val="22"/>
          <w14:textFill>
            <w14:solidFill>
              <w14:schemeClr w14:val="tx1"/>
            </w14:solidFill>
          </w14:textFill>
        </w:rPr>
      </w:pPr>
      <w:r>
        <w:rPr>
          <w:rFonts w:hint="eastAsia" w:ascii="仿宋" w:hAnsi="仿宋" w:eastAsia="仿宋"/>
          <w:color w:val="000000" w:themeColor="text1"/>
          <w:sz w:val="22"/>
          <w14:textFill>
            <w14:solidFill>
              <w14:schemeClr w14:val="tx1"/>
            </w14:solidFill>
          </w14:textFill>
        </w:rPr>
        <w:t>本标准适用于</w:t>
      </w:r>
      <w:r>
        <w:rPr>
          <w:rFonts w:hint="eastAsia" w:ascii="仿宋" w:hAnsi="仿宋" w:eastAsia="仿宋"/>
          <w:color w:val="000000" w:themeColor="text1"/>
          <w:sz w:val="22"/>
          <w:lang w:val="en-US" w:eastAsia="zh-CN"/>
          <w14:textFill>
            <w14:solidFill>
              <w14:schemeClr w14:val="tx1"/>
            </w14:solidFill>
          </w14:textFill>
        </w:rPr>
        <w:t>...</w:t>
      </w:r>
      <w:r>
        <w:rPr>
          <w:rFonts w:hint="eastAsia" w:ascii="仿宋" w:hAnsi="仿宋" w:eastAsia="仿宋"/>
          <w:color w:val="000000" w:themeColor="text1"/>
          <w:sz w:val="22"/>
          <w14:textFill>
            <w14:solidFill>
              <w14:schemeClr w14:val="tx1"/>
            </w14:solidFill>
          </w14:textFill>
        </w:rPr>
        <w:t>有限公司代建业主或下属项目公司（全资或控股）开发建设，集采协议期间内具有总包施工许可证</w:t>
      </w:r>
      <w:r>
        <w:rPr>
          <w:rFonts w:hint="eastAsia" w:ascii="仿宋" w:hAnsi="仿宋" w:eastAsia="仿宋"/>
          <w:color w:val="000000" w:themeColor="text1"/>
          <w:sz w:val="22"/>
          <w:lang w:val="en-US" w:eastAsia="zh-CN"/>
          <w14:textFill>
            <w14:solidFill>
              <w14:schemeClr w14:val="tx1"/>
            </w14:solidFill>
          </w14:textFill>
        </w:rPr>
        <w:t>以及</w:t>
      </w:r>
      <w:r>
        <w:rPr>
          <w:rFonts w:hint="eastAsia" w:ascii="仿宋" w:hAnsi="仿宋" w:eastAsia="仿宋"/>
          <w:color w:val="000000" w:themeColor="text1"/>
          <w:sz w:val="22"/>
          <w14:textFill>
            <w14:solidFill>
              <w14:schemeClr w14:val="tx1"/>
            </w14:solidFill>
          </w14:textFill>
        </w:rPr>
        <w:t>其他产品需求与本次采购产品技术标准一致的项目。</w:t>
      </w:r>
      <w:bookmarkStart w:id="47" w:name="_GoBack"/>
      <w:bookmarkEnd w:id="47"/>
    </w:p>
    <w:p w14:paraId="25ED1EF9">
      <w:pPr>
        <w:pStyle w:val="16"/>
        <w:rPr>
          <w:rFonts w:ascii="仿宋" w:hAnsi="仿宋"/>
          <w:color w:val="000000" w:themeColor="text1"/>
          <w14:textFill>
            <w14:solidFill>
              <w14:schemeClr w14:val="tx1"/>
            </w14:solidFill>
          </w14:textFill>
        </w:rPr>
      </w:pPr>
      <w:bookmarkStart w:id="4" w:name="_Toc100580723"/>
      <w:r>
        <w:rPr>
          <w:rFonts w:hint="eastAsia" w:ascii="仿宋" w:hAnsi="仿宋"/>
          <w:color w:val="000000" w:themeColor="text1"/>
          <w14:textFill>
            <w14:solidFill>
              <w14:schemeClr w14:val="tx1"/>
            </w14:solidFill>
          </w14:textFill>
        </w:rPr>
        <w:t>二、电子锁原材料（或产品部件）要求</w:t>
      </w:r>
      <w:bookmarkEnd w:id="4"/>
    </w:p>
    <w:tbl>
      <w:tblPr>
        <w:tblStyle w:val="18"/>
        <w:tblW w:w="7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5166"/>
      </w:tblGrid>
      <w:tr w14:paraId="6F130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blHeader/>
          <w:jc w:val="center"/>
        </w:trPr>
        <w:tc>
          <w:tcPr>
            <w:tcW w:w="2268" w:type="dxa"/>
            <w:vAlign w:val="center"/>
          </w:tcPr>
          <w:p w14:paraId="367B51BB">
            <w:pPr>
              <w:snapToGrid w:val="0"/>
              <w:spacing w:line="276" w:lineRule="auto"/>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bCs/>
                <w:color w:val="000000" w:themeColor="text1"/>
                <w:sz w:val="18"/>
                <w:szCs w:val="18"/>
                <w14:textFill>
                  <w14:solidFill>
                    <w14:schemeClr w14:val="tx1"/>
                  </w14:solidFill>
                </w14:textFill>
              </w:rPr>
              <w:t>项目名称</w:t>
            </w:r>
          </w:p>
        </w:tc>
        <w:tc>
          <w:tcPr>
            <w:tcW w:w="5166" w:type="dxa"/>
            <w:vAlign w:val="center"/>
          </w:tcPr>
          <w:p w14:paraId="740E7D95">
            <w:pPr>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bCs/>
                <w:color w:val="000000" w:themeColor="text1"/>
                <w:sz w:val="18"/>
                <w:szCs w:val="18"/>
                <w14:textFill>
                  <w14:solidFill>
                    <w14:schemeClr w14:val="tx1"/>
                  </w14:solidFill>
                </w14:textFill>
              </w:rPr>
              <w:t>技术要求</w:t>
            </w:r>
          </w:p>
        </w:tc>
      </w:tr>
      <w:tr w14:paraId="4FFD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2268" w:type="dxa"/>
            <w:vAlign w:val="center"/>
          </w:tcPr>
          <w:p w14:paraId="634CBDDA">
            <w:pPr>
              <w:snapToGrid w:val="0"/>
              <w:spacing w:line="276" w:lineRule="auto"/>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bCs/>
                <w:color w:val="000000" w:themeColor="text1"/>
                <w:sz w:val="18"/>
                <w:szCs w:val="18"/>
                <w14:textFill>
                  <w14:solidFill>
                    <w14:schemeClr w14:val="tx1"/>
                  </w14:solidFill>
                </w14:textFill>
              </w:rPr>
              <w:t>前锁（防护面）材质</w:t>
            </w:r>
          </w:p>
        </w:tc>
        <w:tc>
          <w:tcPr>
            <w:tcW w:w="5166" w:type="dxa"/>
            <w:vAlign w:val="center"/>
          </w:tcPr>
          <w:p w14:paraId="2D8B6135">
            <w:pPr>
              <w:snapToGrid w:val="0"/>
              <w:spacing w:line="276" w:lineRule="auto"/>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w:t>
            </w:r>
            <w:r>
              <w:rPr>
                <w:rFonts w:ascii="仿宋" w:hAnsi="仿宋" w:eastAsia="仿宋"/>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或以上标号锌合金、A</w:t>
            </w:r>
            <w:r>
              <w:rPr>
                <w:rFonts w:ascii="仿宋" w:hAnsi="仿宋" w:eastAsia="仿宋"/>
                <w:color w:val="000000" w:themeColor="text1"/>
                <w:sz w:val="18"/>
                <w:szCs w:val="18"/>
                <w14:textFill>
                  <w14:solidFill>
                    <w14:schemeClr w14:val="tx1"/>
                  </w14:solidFill>
                </w14:textFill>
              </w:rPr>
              <w:t>DC12</w:t>
            </w:r>
            <w:r>
              <w:rPr>
                <w:rFonts w:hint="eastAsia" w:ascii="仿宋" w:hAnsi="仿宋" w:eastAsia="仿宋"/>
                <w:bCs/>
                <w:color w:val="000000" w:themeColor="text1"/>
                <w:sz w:val="18"/>
                <w:szCs w:val="18"/>
                <w14:textFill>
                  <w14:solidFill>
                    <w14:schemeClr w14:val="tx1"/>
                  </w14:solidFill>
                </w14:textFill>
              </w:rPr>
              <w:t>铝合金、3</w:t>
            </w:r>
            <w:r>
              <w:rPr>
                <w:rFonts w:ascii="仿宋" w:hAnsi="仿宋" w:eastAsia="仿宋"/>
                <w:bCs/>
                <w:color w:val="000000" w:themeColor="text1"/>
                <w:sz w:val="18"/>
                <w:szCs w:val="18"/>
                <w14:textFill>
                  <w14:solidFill>
                    <w14:schemeClr w14:val="tx1"/>
                  </w14:solidFill>
                </w14:textFill>
              </w:rPr>
              <w:t>04</w:t>
            </w:r>
            <w:r>
              <w:rPr>
                <w:rFonts w:hint="eastAsia" w:ascii="仿宋" w:hAnsi="仿宋" w:eastAsia="仿宋"/>
                <w:bCs/>
                <w:color w:val="000000" w:themeColor="text1"/>
                <w:sz w:val="18"/>
                <w:szCs w:val="18"/>
                <w14:textFill>
                  <w14:solidFill>
                    <w14:schemeClr w14:val="tx1"/>
                  </w14:solidFill>
                </w14:textFill>
              </w:rPr>
              <w:t>不锈钢或</w:t>
            </w:r>
            <w:r>
              <w:rPr>
                <w:rFonts w:hint="eastAsia" w:ascii="仿宋" w:hAnsi="仿宋" w:eastAsia="仿宋"/>
                <w:color w:val="000000" w:themeColor="text1"/>
                <w:sz w:val="18"/>
                <w:szCs w:val="18"/>
                <w14:textFill>
                  <w14:solidFill>
                    <w14:schemeClr w14:val="tx1"/>
                  </w14:solidFill>
                </w14:textFill>
              </w:rPr>
              <w:t>同等性能材质</w:t>
            </w:r>
          </w:p>
        </w:tc>
      </w:tr>
      <w:tr w14:paraId="2E819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2268" w:type="dxa"/>
            <w:vAlign w:val="center"/>
          </w:tcPr>
          <w:p w14:paraId="6385FC2A">
            <w:pPr>
              <w:snapToGrid w:val="0"/>
              <w:spacing w:line="276" w:lineRule="auto"/>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bCs/>
                <w:color w:val="000000" w:themeColor="text1"/>
                <w:sz w:val="18"/>
                <w:szCs w:val="18"/>
                <w14:textFill>
                  <w14:solidFill>
                    <w14:schemeClr w14:val="tx1"/>
                  </w14:solidFill>
                </w14:textFill>
              </w:rPr>
              <w:t>后锁材质</w:t>
            </w:r>
          </w:p>
        </w:tc>
        <w:tc>
          <w:tcPr>
            <w:tcW w:w="5166" w:type="dxa"/>
            <w:vAlign w:val="center"/>
          </w:tcPr>
          <w:p w14:paraId="6379ADB4">
            <w:pPr>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w:t>
            </w:r>
            <w:r>
              <w:rPr>
                <w:rFonts w:ascii="仿宋" w:hAnsi="仿宋" w:eastAsia="仿宋"/>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或以上标号锌合金、A</w:t>
            </w:r>
            <w:r>
              <w:rPr>
                <w:rFonts w:ascii="仿宋" w:hAnsi="仿宋" w:eastAsia="仿宋"/>
                <w:color w:val="000000" w:themeColor="text1"/>
                <w:sz w:val="18"/>
                <w:szCs w:val="18"/>
                <w14:textFill>
                  <w14:solidFill>
                    <w14:schemeClr w14:val="tx1"/>
                  </w14:solidFill>
                </w14:textFill>
              </w:rPr>
              <w:t>DC12</w:t>
            </w:r>
            <w:r>
              <w:rPr>
                <w:rFonts w:hint="eastAsia" w:ascii="仿宋" w:hAnsi="仿宋" w:eastAsia="仿宋"/>
                <w:bCs/>
                <w:color w:val="000000" w:themeColor="text1"/>
                <w:sz w:val="18"/>
                <w:szCs w:val="18"/>
                <w14:textFill>
                  <w14:solidFill>
                    <w14:schemeClr w14:val="tx1"/>
                  </w14:solidFill>
                </w14:textFill>
              </w:rPr>
              <w:t>铝合金、3</w:t>
            </w:r>
            <w:r>
              <w:rPr>
                <w:rFonts w:ascii="仿宋" w:hAnsi="仿宋" w:eastAsia="仿宋"/>
                <w:bCs/>
                <w:color w:val="000000" w:themeColor="text1"/>
                <w:sz w:val="18"/>
                <w:szCs w:val="18"/>
                <w14:textFill>
                  <w14:solidFill>
                    <w14:schemeClr w14:val="tx1"/>
                  </w14:solidFill>
                </w14:textFill>
              </w:rPr>
              <w:t>04</w:t>
            </w:r>
            <w:r>
              <w:rPr>
                <w:rFonts w:hint="eastAsia" w:ascii="仿宋" w:hAnsi="仿宋" w:eastAsia="仿宋"/>
                <w:bCs/>
                <w:color w:val="000000" w:themeColor="text1"/>
                <w:sz w:val="18"/>
                <w:szCs w:val="18"/>
                <w14:textFill>
                  <w14:solidFill>
                    <w14:schemeClr w14:val="tx1"/>
                  </w14:solidFill>
                </w14:textFill>
              </w:rPr>
              <w:t>不锈钢或</w:t>
            </w:r>
            <w:r>
              <w:rPr>
                <w:rFonts w:hint="eastAsia" w:ascii="仿宋" w:hAnsi="仿宋" w:eastAsia="仿宋"/>
                <w:color w:val="000000" w:themeColor="text1"/>
                <w:sz w:val="18"/>
                <w:szCs w:val="18"/>
                <w14:textFill>
                  <w14:solidFill>
                    <w14:schemeClr w14:val="tx1"/>
                  </w14:solidFill>
                </w14:textFill>
              </w:rPr>
              <w:t>同等性能材质</w:t>
            </w:r>
          </w:p>
        </w:tc>
      </w:tr>
      <w:tr w14:paraId="19757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2268" w:type="dxa"/>
            <w:vAlign w:val="center"/>
          </w:tcPr>
          <w:p w14:paraId="6E049508">
            <w:pPr>
              <w:snapToGrid w:val="0"/>
              <w:spacing w:line="276" w:lineRule="auto"/>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bCs/>
                <w:color w:val="000000" w:themeColor="text1"/>
                <w:sz w:val="18"/>
                <w:szCs w:val="18"/>
                <w14:textFill>
                  <w14:solidFill>
                    <w14:schemeClr w14:val="tx1"/>
                  </w14:solidFill>
                </w14:textFill>
              </w:rPr>
              <w:t>把手（手动操作部件）材质</w:t>
            </w:r>
          </w:p>
        </w:tc>
        <w:tc>
          <w:tcPr>
            <w:tcW w:w="5166" w:type="dxa"/>
            <w:vAlign w:val="center"/>
          </w:tcPr>
          <w:p w14:paraId="473624AF">
            <w:pPr>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w:t>
            </w:r>
            <w:r>
              <w:rPr>
                <w:rFonts w:ascii="仿宋" w:hAnsi="仿宋" w:eastAsia="仿宋"/>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或以上标号锌合金、A</w:t>
            </w:r>
            <w:r>
              <w:rPr>
                <w:rFonts w:ascii="仿宋" w:hAnsi="仿宋" w:eastAsia="仿宋"/>
                <w:color w:val="000000" w:themeColor="text1"/>
                <w:sz w:val="18"/>
                <w:szCs w:val="18"/>
                <w14:textFill>
                  <w14:solidFill>
                    <w14:schemeClr w14:val="tx1"/>
                  </w14:solidFill>
                </w14:textFill>
              </w:rPr>
              <w:t>DC12</w:t>
            </w:r>
            <w:r>
              <w:rPr>
                <w:rFonts w:hint="eastAsia" w:ascii="仿宋" w:hAnsi="仿宋" w:eastAsia="仿宋"/>
                <w:bCs/>
                <w:color w:val="000000" w:themeColor="text1"/>
                <w:sz w:val="18"/>
                <w:szCs w:val="18"/>
                <w14:textFill>
                  <w14:solidFill>
                    <w14:schemeClr w14:val="tx1"/>
                  </w14:solidFill>
                </w14:textFill>
              </w:rPr>
              <w:t>铝合金、3</w:t>
            </w:r>
            <w:r>
              <w:rPr>
                <w:rFonts w:ascii="仿宋" w:hAnsi="仿宋" w:eastAsia="仿宋"/>
                <w:bCs/>
                <w:color w:val="000000" w:themeColor="text1"/>
                <w:sz w:val="18"/>
                <w:szCs w:val="18"/>
                <w14:textFill>
                  <w14:solidFill>
                    <w14:schemeClr w14:val="tx1"/>
                  </w14:solidFill>
                </w14:textFill>
              </w:rPr>
              <w:t>04</w:t>
            </w:r>
            <w:r>
              <w:rPr>
                <w:rFonts w:hint="eastAsia" w:ascii="仿宋" w:hAnsi="仿宋" w:eastAsia="仿宋"/>
                <w:bCs/>
                <w:color w:val="000000" w:themeColor="text1"/>
                <w:sz w:val="18"/>
                <w:szCs w:val="18"/>
                <w14:textFill>
                  <w14:solidFill>
                    <w14:schemeClr w14:val="tx1"/>
                  </w14:solidFill>
                </w14:textFill>
              </w:rPr>
              <w:t>不锈钢或</w:t>
            </w:r>
            <w:r>
              <w:rPr>
                <w:rFonts w:hint="eastAsia" w:ascii="仿宋" w:hAnsi="仿宋" w:eastAsia="仿宋"/>
                <w:color w:val="000000" w:themeColor="text1"/>
                <w:sz w:val="18"/>
                <w:szCs w:val="18"/>
                <w14:textFill>
                  <w14:solidFill>
                    <w14:schemeClr w14:val="tx1"/>
                  </w14:solidFill>
                </w14:textFill>
              </w:rPr>
              <w:t>同等性能材质</w:t>
            </w:r>
          </w:p>
        </w:tc>
      </w:tr>
      <w:tr w14:paraId="33BAB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2268" w:type="dxa"/>
            <w:vAlign w:val="center"/>
          </w:tcPr>
          <w:p w14:paraId="714EE209">
            <w:pPr>
              <w:snapToGrid w:val="0"/>
              <w:spacing w:line="276" w:lineRule="auto"/>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bCs/>
                <w:color w:val="000000" w:themeColor="text1"/>
                <w:sz w:val="18"/>
                <w:szCs w:val="18"/>
                <w14:textFill>
                  <w14:solidFill>
                    <w14:schemeClr w14:val="tx1"/>
                  </w14:solidFill>
                </w14:textFill>
              </w:rPr>
              <w:t>锁舌材质</w:t>
            </w:r>
          </w:p>
        </w:tc>
        <w:tc>
          <w:tcPr>
            <w:tcW w:w="5166" w:type="dxa"/>
            <w:vAlign w:val="center"/>
          </w:tcPr>
          <w:p w14:paraId="6FC35DA1">
            <w:pPr>
              <w:jc w:val="center"/>
              <w:rPr>
                <w:rFonts w:ascii="仿宋" w:hAnsi="仿宋" w:eastAsia="仿宋"/>
                <w:bCs/>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304</w:t>
            </w:r>
            <w:r>
              <w:rPr>
                <w:rFonts w:hint="eastAsia" w:ascii="仿宋" w:hAnsi="仿宋" w:eastAsia="仿宋"/>
                <w:color w:val="000000" w:themeColor="text1"/>
                <w:sz w:val="18"/>
                <w:szCs w:val="18"/>
                <w14:textFill>
                  <w14:solidFill>
                    <w14:schemeClr w14:val="tx1"/>
                  </w14:solidFill>
                </w14:textFill>
              </w:rPr>
              <w:t>不锈钢或同等性能材质</w:t>
            </w:r>
          </w:p>
        </w:tc>
      </w:tr>
      <w:tr w14:paraId="661F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2268" w:type="dxa"/>
            <w:vAlign w:val="center"/>
          </w:tcPr>
          <w:p w14:paraId="1F8C6B85">
            <w:pPr>
              <w:snapToGrid w:val="0"/>
              <w:spacing w:line="276" w:lineRule="auto"/>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bCs/>
                <w:color w:val="000000" w:themeColor="text1"/>
                <w:sz w:val="18"/>
                <w:szCs w:val="18"/>
                <w14:textFill>
                  <w14:solidFill>
                    <w14:schemeClr w14:val="tx1"/>
                  </w14:solidFill>
                </w14:textFill>
              </w:rPr>
              <w:t>方舌材质</w:t>
            </w:r>
          </w:p>
        </w:tc>
        <w:tc>
          <w:tcPr>
            <w:tcW w:w="5166" w:type="dxa"/>
            <w:vAlign w:val="center"/>
          </w:tcPr>
          <w:p w14:paraId="686F9C83">
            <w:pPr>
              <w:jc w:val="center"/>
              <w:rPr>
                <w:rFonts w:ascii="仿宋" w:hAnsi="仿宋" w:eastAsia="仿宋"/>
                <w:bCs/>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304</w:t>
            </w:r>
            <w:r>
              <w:rPr>
                <w:rFonts w:hint="eastAsia" w:ascii="仿宋" w:hAnsi="仿宋" w:eastAsia="仿宋"/>
                <w:color w:val="000000" w:themeColor="text1"/>
                <w:sz w:val="18"/>
                <w:szCs w:val="18"/>
                <w14:textFill>
                  <w14:solidFill>
                    <w14:schemeClr w14:val="tx1"/>
                  </w14:solidFill>
                </w14:textFill>
              </w:rPr>
              <w:t>不锈钢或同等性能材质</w:t>
            </w:r>
          </w:p>
        </w:tc>
      </w:tr>
      <w:tr w14:paraId="7ED4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2268" w:type="dxa"/>
            <w:vAlign w:val="center"/>
          </w:tcPr>
          <w:p w14:paraId="08559CAA">
            <w:pPr>
              <w:snapToGrid w:val="0"/>
              <w:spacing w:line="276" w:lineRule="auto"/>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bCs/>
                <w:color w:val="000000" w:themeColor="text1"/>
                <w:sz w:val="18"/>
                <w:szCs w:val="18"/>
                <w14:textFill>
                  <w14:solidFill>
                    <w14:schemeClr w14:val="tx1"/>
                  </w14:solidFill>
                </w14:textFill>
              </w:rPr>
              <w:t>锁芯主要传动机构材质</w:t>
            </w:r>
          </w:p>
        </w:tc>
        <w:tc>
          <w:tcPr>
            <w:tcW w:w="5166" w:type="dxa"/>
            <w:vAlign w:val="center"/>
          </w:tcPr>
          <w:p w14:paraId="269A7103">
            <w:pPr>
              <w:jc w:val="center"/>
              <w:rPr>
                <w:rFonts w:ascii="仿宋" w:hAnsi="仿宋" w:eastAsia="仿宋"/>
                <w:bCs/>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59黄铜或更优性能材质</w:t>
            </w:r>
          </w:p>
        </w:tc>
      </w:tr>
    </w:tbl>
    <w:p w14:paraId="3C6D1552">
      <w:pPr>
        <w:pStyle w:val="16"/>
        <w:rPr>
          <w:rFonts w:ascii="仿宋" w:hAnsi="仿宋"/>
          <w:color w:val="000000" w:themeColor="text1"/>
          <w14:textFill>
            <w14:solidFill>
              <w14:schemeClr w14:val="tx1"/>
            </w14:solidFill>
          </w14:textFill>
        </w:rPr>
      </w:pPr>
      <w:bookmarkStart w:id="5" w:name="_Toc100580724"/>
      <w:r>
        <w:rPr>
          <w:rFonts w:hint="eastAsia" w:ascii="仿宋" w:hAnsi="仿宋"/>
          <w:color w:val="000000" w:themeColor="text1"/>
          <w14:textFill>
            <w14:solidFill>
              <w14:schemeClr w14:val="tx1"/>
            </w14:solidFill>
          </w14:textFill>
        </w:rPr>
        <w:t>三、电子锁通用要求</w:t>
      </w:r>
      <w:bookmarkEnd w:id="5"/>
    </w:p>
    <w:p w14:paraId="75D18F8C">
      <w:pPr>
        <w:pStyle w:val="14"/>
        <w:rPr>
          <w:rFonts w:ascii="仿宋" w:hAnsi="仿宋"/>
          <w:color w:val="000000" w:themeColor="text1"/>
          <w14:textFill>
            <w14:solidFill>
              <w14:schemeClr w14:val="tx1"/>
            </w14:solidFill>
          </w14:textFill>
        </w:rPr>
      </w:pPr>
      <w:bookmarkStart w:id="6" w:name="_Toc100580725"/>
      <w:r>
        <w:rPr>
          <w:rFonts w:hint="eastAsia" w:ascii="仿宋" w:hAnsi="仿宋"/>
          <w:color w:val="000000" w:themeColor="text1"/>
          <w14:textFill>
            <w14:solidFill>
              <w14:schemeClr w14:val="tx1"/>
            </w14:solidFill>
          </w14:textFill>
        </w:rPr>
        <w:t>3</w:t>
      </w:r>
      <w:r>
        <w:rPr>
          <w:rFonts w:ascii="仿宋" w:hAnsi="仿宋"/>
          <w:color w:val="000000" w:themeColor="text1"/>
          <w14:textFill>
            <w14:solidFill>
              <w14:schemeClr w14:val="tx1"/>
            </w14:solidFill>
          </w14:textFill>
        </w:rPr>
        <w:t>.1</w:t>
      </w:r>
      <w:r>
        <w:rPr>
          <w:rFonts w:hint="eastAsia" w:ascii="仿宋" w:hAnsi="仿宋"/>
          <w:color w:val="000000" w:themeColor="text1"/>
          <w14:textFill>
            <w14:solidFill>
              <w14:schemeClr w14:val="tx1"/>
            </w14:solidFill>
          </w14:textFill>
        </w:rPr>
        <w:t>外观要求</w:t>
      </w:r>
      <w:bookmarkEnd w:id="6"/>
    </w:p>
    <w:p w14:paraId="3AA0E15D">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highlight w:val="green"/>
          <w14:textFill>
            <w14:solidFill>
              <w14:schemeClr w14:val="tx1"/>
            </w14:solidFill>
          </w14:textFill>
        </w:rPr>
        <w:t>电子锁表面应无明显变形、裂纹、褪色，也不应有毛刺、砂孔、起泡、腐蚀、划痕、涂层脱落等缺陷。</w:t>
      </w:r>
      <w:r>
        <w:rPr>
          <w:rFonts w:hint="eastAsia" w:ascii="仿宋" w:hAnsi="仿宋" w:eastAsia="仿宋"/>
          <w:color w:val="000000" w:themeColor="text1"/>
          <w14:textFill>
            <w14:solidFill>
              <w14:schemeClr w14:val="tx1"/>
            </w14:solidFill>
          </w14:textFill>
        </w:rPr>
        <w:t>锁具的商标标志应清晰。</w:t>
      </w:r>
    </w:p>
    <w:p w14:paraId="6AD81652">
      <w:pPr>
        <w:pStyle w:val="14"/>
        <w:rPr>
          <w:rFonts w:ascii="仿宋" w:hAnsi="仿宋"/>
          <w:color w:val="000000" w:themeColor="text1"/>
          <w14:textFill>
            <w14:solidFill>
              <w14:schemeClr w14:val="tx1"/>
            </w14:solidFill>
          </w14:textFill>
        </w:rPr>
      </w:pPr>
      <w:bookmarkStart w:id="7" w:name="_Toc100580726"/>
      <w:r>
        <w:rPr>
          <w:rFonts w:hint="eastAsia" w:ascii="仿宋" w:hAnsi="仿宋"/>
          <w:color w:val="000000" w:themeColor="text1"/>
          <w14:textFill>
            <w14:solidFill>
              <w14:schemeClr w14:val="tx1"/>
            </w14:solidFill>
          </w14:textFill>
        </w:rPr>
        <w:t>3</w:t>
      </w:r>
      <w:r>
        <w:rPr>
          <w:rFonts w:ascii="仿宋" w:hAnsi="仿宋"/>
          <w:color w:val="000000" w:themeColor="text1"/>
          <w14:textFill>
            <w14:solidFill>
              <w14:schemeClr w14:val="tx1"/>
            </w14:solidFill>
          </w14:textFill>
        </w:rPr>
        <w:t>.2</w:t>
      </w:r>
      <w:r>
        <w:rPr>
          <w:rFonts w:hint="eastAsia" w:ascii="仿宋" w:hAnsi="仿宋"/>
          <w:color w:val="000000" w:themeColor="text1"/>
          <w14:textFill>
            <w14:solidFill>
              <w14:schemeClr w14:val="tx1"/>
            </w14:solidFill>
          </w14:textFill>
        </w:rPr>
        <w:t>外壳防护等级要求</w:t>
      </w:r>
      <w:bookmarkEnd w:id="7"/>
    </w:p>
    <w:p w14:paraId="35F9199E">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r>
        <w:rPr>
          <w:rFonts w:ascii="仿宋" w:hAnsi="仿宋" w:eastAsia="仿宋"/>
          <w:color w:val="000000" w:themeColor="text1"/>
          <w14:textFill>
            <w14:solidFill>
              <w14:schemeClr w14:val="tx1"/>
            </w14:solidFill>
          </w14:textFill>
        </w:rPr>
        <w:t>.2.1</w:t>
      </w:r>
      <w:r>
        <w:rPr>
          <w:rFonts w:hint="eastAsia" w:ascii="仿宋" w:hAnsi="仿宋" w:eastAsia="仿宋"/>
          <w:color w:val="000000" w:themeColor="text1"/>
          <w14:textFill>
            <w14:solidFill>
              <w14:schemeClr w14:val="tx1"/>
            </w14:solidFill>
          </w14:textFill>
        </w:rPr>
        <w:t>室内用电子锁的外壳防护等级应符合G</w:t>
      </w:r>
      <w:r>
        <w:rPr>
          <w:rFonts w:ascii="仿宋" w:hAnsi="仿宋" w:eastAsia="仿宋"/>
          <w:color w:val="000000" w:themeColor="text1"/>
          <w14:textFill>
            <w14:solidFill>
              <w14:schemeClr w14:val="tx1"/>
            </w14:solidFill>
          </w14:textFill>
        </w:rPr>
        <w:t>B/T4208</w:t>
      </w:r>
      <w:r>
        <w:rPr>
          <w:rFonts w:hint="eastAsia" w:ascii="仿宋" w:hAnsi="仿宋" w:eastAsia="仿宋"/>
          <w:color w:val="000000" w:themeColor="text1"/>
          <w14:textFill>
            <w14:solidFill>
              <w14:schemeClr w14:val="tx1"/>
            </w14:solidFill>
          </w14:textFill>
        </w:rPr>
        <w:t>-</w:t>
      </w:r>
      <w:r>
        <w:rPr>
          <w:rFonts w:ascii="仿宋" w:hAnsi="仿宋" w:eastAsia="仿宋"/>
          <w:color w:val="000000" w:themeColor="text1"/>
          <w14:textFill>
            <w14:solidFill>
              <w14:schemeClr w14:val="tx1"/>
            </w14:solidFill>
          </w14:textFill>
        </w:rPr>
        <w:t>2017</w:t>
      </w:r>
      <w:r>
        <w:rPr>
          <w:rFonts w:hint="eastAsia" w:ascii="仿宋" w:hAnsi="仿宋" w:eastAsia="仿宋"/>
          <w:color w:val="000000" w:themeColor="text1"/>
          <w14:textFill>
            <w14:solidFill>
              <w14:schemeClr w14:val="tx1"/>
            </w14:solidFill>
          </w14:textFill>
        </w:rPr>
        <w:t>中I</w:t>
      </w:r>
      <w:r>
        <w:rPr>
          <w:rFonts w:ascii="仿宋" w:hAnsi="仿宋" w:eastAsia="仿宋"/>
          <w:color w:val="000000" w:themeColor="text1"/>
          <w14:textFill>
            <w14:solidFill>
              <w14:schemeClr w14:val="tx1"/>
            </w14:solidFill>
          </w14:textFill>
        </w:rPr>
        <w:t>P52</w:t>
      </w:r>
      <w:r>
        <w:rPr>
          <w:rFonts w:hint="eastAsia" w:ascii="仿宋" w:hAnsi="仿宋" w:eastAsia="仿宋"/>
          <w:color w:val="000000" w:themeColor="text1"/>
          <w14:textFill>
            <w14:solidFill>
              <w14:schemeClr w14:val="tx1"/>
            </w14:solidFill>
          </w14:textFill>
        </w:rPr>
        <w:t>等级的规定。</w:t>
      </w:r>
    </w:p>
    <w:p w14:paraId="626D9505">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3.2.2</w:t>
      </w:r>
      <w:r>
        <w:rPr>
          <w:rFonts w:hint="eastAsia" w:ascii="仿宋" w:hAnsi="仿宋" w:eastAsia="仿宋"/>
          <w:color w:val="000000" w:themeColor="text1"/>
          <w14:textFill>
            <w14:solidFill>
              <w14:schemeClr w14:val="tx1"/>
            </w14:solidFill>
          </w14:textFill>
        </w:rPr>
        <w:t>室外或环境特殊要求电子锁外壳等级应符合G</w:t>
      </w:r>
      <w:r>
        <w:rPr>
          <w:rFonts w:ascii="仿宋" w:hAnsi="仿宋" w:eastAsia="仿宋"/>
          <w:color w:val="000000" w:themeColor="text1"/>
          <w14:textFill>
            <w14:solidFill>
              <w14:schemeClr w14:val="tx1"/>
            </w14:solidFill>
          </w14:textFill>
        </w:rPr>
        <w:t>B/T4208</w:t>
      </w:r>
      <w:r>
        <w:rPr>
          <w:rFonts w:hint="eastAsia" w:ascii="仿宋" w:hAnsi="仿宋" w:eastAsia="仿宋"/>
          <w:color w:val="000000" w:themeColor="text1"/>
          <w14:textFill>
            <w14:solidFill>
              <w14:schemeClr w14:val="tx1"/>
            </w14:solidFill>
          </w14:textFill>
        </w:rPr>
        <w:t>-</w:t>
      </w:r>
      <w:r>
        <w:rPr>
          <w:rFonts w:ascii="仿宋" w:hAnsi="仿宋" w:eastAsia="仿宋"/>
          <w:color w:val="000000" w:themeColor="text1"/>
          <w14:textFill>
            <w14:solidFill>
              <w14:schemeClr w14:val="tx1"/>
            </w14:solidFill>
          </w14:textFill>
        </w:rPr>
        <w:t>2017</w:t>
      </w:r>
      <w:r>
        <w:rPr>
          <w:rFonts w:hint="eastAsia" w:ascii="仿宋" w:hAnsi="仿宋" w:eastAsia="仿宋"/>
          <w:color w:val="000000" w:themeColor="text1"/>
          <w14:textFill>
            <w14:solidFill>
              <w14:schemeClr w14:val="tx1"/>
            </w14:solidFill>
          </w14:textFill>
        </w:rPr>
        <w:t>中I</w:t>
      </w:r>
      <w:r>
        <w:rPr>
          <w:rFonts w:ascii="仿宋" w:hAnsi="仿宋" w:eastAsia="仿宋"/>
          <w:color w:val="000000" w:themeColor="text1"/>
          <w14:textFill>
            <w14:solidFill>
              <w14:schemeClr w14:val="tx1"/>
            </w14:solidFill>
          </w14:textFill>
        </w:rPr>
        <w:t>P53</w:t>
      </w:r>
      <w:r>
        <w:rPr>
          <w:rFonts w:hint="eastAsia" w:ascii="仿宋" w:hAnsi="仿宋" w:eastAsia="仿宋"/>
          <w:color w:val="000000" w:themeColor="text1"/>
          <w14:textFill>
            <w14:solidFill>
              <w14:schemeClr w14:val="tx1"/>
            </w14:solidFill>
          </w14:textFill>
        </w:rPr>
        <w:t>等级规定。</w:t>
      </w:r>
    </w:p>
    <w:p w14:paraId="76294730">
      <w:pPr>
        <w:pStyle w:val="14"/>
        <w:rPr>
          <w:rFonts w:ascii="仿宋" w:hAnsi="仿宋"/>
          <w:color w:val="000000" w:themeColor="text1"/>
          <w:highlight w:val="green"/>
          <w14:textFill>
            <w14:solidFill>
              <w14:schemeClr w14:val="tx1"/>
            </w14:solidFill>
          </w14:textFill>
        </w:rPr>
      </w:pPr>
      <w:bookmarkStart w:id="8" w:name="_Toc100580727"/>
      <w:r>
        <w:rPr>
          <w:rFonts w:ascii="仿宋" w:hAnsi="仿宋"/>
          <w:color w:val="000000" w:themeColor="text1"/>
          <w:highlight w:val="green"/>
          <w14:textFill>
            <w14:solidFill>
              <w14:schemeClr w14:val="tx1"/>
            </w14:solidFill>
          </w14:textFill>
        </w:rPr>
        <w:t>3</w:t>
      </w:r>
      <w:r>
        <w:rPr>
          <w:rFonts w:hint="eastAsia" w:ascii="仿宋" w:hAnsi="仿宋"/>
          <w:color w:val="000000" w:themeColor="text1"/>
          <w:highlight w:val="green"/>
          <w14:textFill>
            <w14:solidFill>
              <w14:schemeClr w14:val="tx1"/>
            </w14:solidFill>
          </w14:textFill>
        </w:rPr>
        <w:t>.</w:t>
      </w:r>
      <w:r>
        <w:rPr>
          <w:rFonts w:ascii="仿宋" w:hAnsi="仿宋"/>
          <w:color w:val="000000" w:themeColor="text1"/>
          <w:highlight w:val="green"/>
          <w14:textFill>
            <w14:solidFill>
              <w14:schemeClr w14:val="tx1"/>
            </w14:solidFill>
          </w14:textFill>
        </w:rPr>
        <w:t>3</w:t>
      </w:r>
      <w:r>
        <w:rPr>
          <w:rFonts w:hint="eastAsia" w:ascii="仿宋" w:hAnsi="仿宋"/>
          <w:color w:val="000000" w:themeColor="text1"/>
          <w:highlight w:val="green"/>
          <w14:textFill>
            <w14:solidFill>
              <w14:schemeClr w14:val="tx1"/>
            </w14:solidFill>
          </w14:textFill>
        </w:rPr>
        <w:t>稳定性</w:t>
      </w:r>
      <w:bookmarkEnd w:id="8"/>
    </w:p>
    <w:p w14:paraId="45D81126">
      <w:pPr>
        <w:ind w:firstLine="420" w:firstLineChars="200"/>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highlight w:val="green"/>
          <w14:textFill>
            <w14:solidFill>
              <w14:schemeClr w14:val="tx1"/>
            </w14:solidFill>
          </w14:textFill>
        </w:rPr>
        <w:t>电子锁连续通电168h，每天进行不少于30次的启、闭操作，不应出现误动作、电气故障或机械故障。</w:t>
      </w:r>
    </w:p>
    <w:p w14:paraId="626899FF">
      <w:pPr>
        <w:pStyle w:val="14"/>
        <w:rPr>
          <w:rFonts w:hint="default" w:ascii="仿宋" w:hAnsi="仿宋" w:eastAsia="仿宋"/>
          <w:color w:val="0000FF"/>
          <w:lang w:val="en-US" w:eastAsia="zh-CN"/>
        </w:rPr>
      </w:pPr>
      <w:r>
        <w:rPr>
          <w:rFonts w:ascii="仿宋" w:hAnsi="仿宋"/>
          <w:color w:val="0000FF"/>
        </w:rPr>
        <w:t>3</w:t>
      </w:r>
      <w:r>
        <w:rPr>
          <w:rFonts w:hint="eastAsia" w:ascii="仿宋" w:hAnsi="仿宋"/>
          <w:color w:val="0000FF"/>
        </w:rPr>
        <w:t>.</w:t>
      </w:r>
      <w:r>
        <w:rPr>
          <w:rFonts w:hint="eastAsia" w:ascii="仿宋" w:hAnsi="仿宋"/>
          <w:color w:val="0000FF"/>
          <w:lang w:val="en-US" w:eastAsia="zh-CN"/>
        </w:rPr>
        <w:t>4检测报告要求</w:t>
      </w:r>
    </w:p>
    <w:p w14:paraId="7D696522">
      <w:pPr>
        <w:widowControl/>
        <w:ind w:firstLine="0" w:firstLineChars="0"/>
        <w:jc w:val="left"/>
        <w:rPr>
          <w:rFonts w:hint="eastAsia" w:ascii="仿宋" w:hAnsi="仿宋" w:eastAsia="仿宋"/>
          <w:color w:val="0000FF"/>
          <w:lang w:val="en-US" w:eastAsia="zh-CN"/>
        </w:rPr>
      </w:pPr>
      <w:r>
        <w:rPr>
          <w:rFonts w:hint="eastAsia" w:ascii="仿宋" w:hAnsi="仿宋" w:eastAsia="仿宋"/>
          <w:color w:val="0000FF"/>
        </w:rPr>
        <w:t>具备</w:t>
      </w:r>
      <w:r>
        <w:rPr>
          <w:rFonts w:hint="eastAsia" w:ascii="仿宋" w:hAnsi="仿宋" w:eastAsia="仿宋"/>
          <w:color w:val="0000FF"/>
          <w:lang w:val="en-US" w:eastAsia="zh-CN"/>
        </w:rPr>
        <w:t>第三方</w:t>
      </w:r>
      <w:r>
        <w:rPr>
          <w:rFonts w:hint="eastAsia" w:ascii="仿宋" w:hAnsi="仿宋" w:eastAsia="仿宋"/>
          <w:color w:val="0000FF"/>
        </w:rPr>
        <w:t>质量检测中心</w:t>
      </w:r>
      <w:r>
        <w:rPr>
          <w:rFonts w:hint="eastAsia" w:ascii="仿宋" w:hAnsi="仿宋" w:eastAsia="仿宋"/>
          <w:color w:val="0000FF"/>
          <w:lang w:val="en-US" w:eastAsia="zh-CN"/>
        </w:rPr>
        <w:t>提供的</w:t>
      </w:r>
      <w:r>
        <w:rPr>
          <w:rFonts w:hint="eastAsia" w:ascii="仿宋" w:hAnsi="仿宋" w:eastAsia="仿宋"/>
          <w:color w:val="0000FF"/>
        </w:rPr>
        <w:t>检测报告</w:t>
      </w:r>
      <w:r>
        <w:rPr>
          <w:rFonts w:hint="eastAsia" w:ascii="仿宋" w:hAnsi="仿宋" w:eastAsia="仿宋"/>
          <w:color w:val="0000FF"/>
          <w:lang w:eastAsia="zh-CN"/>
        </w:rPr>
        <w:t>，</w:t>
      </w:r>
      <w:r>
        <w:rPr>
          <w:rFonts w:hint="eastAsia" w:ascii="仿宋" w:hAnsi="仿宋" w:eastAsia="仿宋"/>
          <w:color w:val="0000FF"/>
          <w:lang w:val="en-US" w:eastAsia="zh-CN"/>
        </w:rPr>
        <w:t>检测应</w:t>
      </w:r>
      <w:r>
        <w:rPr>
          <w:rFonts w:hint="eastAsia" w:ascii="仿宋" w:hAnsi="仿宋" w:eastAsia="仿宋" w:cstheme="minorBidi"/>
          <w:b w:val="0"/>
          <w:bCs w:val="0"/>
          <w:color w:val="0000FF"/>
          <w:kern w:val="2"/>
          <w:sz w:val="21"/>
          <w:szCs w:val="22"/>
          <w:lang w:val="en-US" w:eastAsia="zh-CN" w:bidi="ar"/>
        </w:rPr>
        <w:t>依据</w:t>
      </w:r>
      <w:r>
        <w:rPr>
          <w:rFonts w:hint="eastAsia" w:ascii="仿宋" w:hAnsi="仿宋" w:eastAsia="仿宋"/>
          <w:color w:val="0000FF"/>
        </w:rPr>
        <w:t>GA-374</w:t>
      </w:r>
      <w:r>
        <w:rPr>
          <w:rFonts w:hint="eastAsia" w:ascii="仿宋" w:hAnsi="仿宋" w:eastAsia="仿宋"/>
          <w:color w:val="0000FF"/>
          <w:lang w:val="en-US" w:eastAsia="zh-CN"/>
        </w:rPr>
        <w:t>-2019</w:t>
      </w:r>
      <w:r>
        <w:rPr>
          <w:rFonts w:hint="eastAsia" w:ascii="仿宋" w:hAnsi="仿宋" w:eastAsia="仿宋"/>
          <w:color w:val="0000FF"/>
        </w:rPr>
        <w:t xml:space="preserve"> 电子防盗锁 联网型 B级或者以上标准</w:t>
      </w:r>
      <w:r>
        <w:rPr>
          <w:rFonts w:hint="eastAsia" w:ascii="仿宋" w:hAnsi="仿宋" w:eastAsia="仿宋"/>
          <w:color w:val="0000FF"/>
          <w:lang w:eastAsia="zh-CN"/>
        </w:rPr>
        <w:t>。</w:t>
      </w:r>
    </w:p>
    <w:p w14:paraId="6B91793D">
      <w:pPr>
        <w:pStyle w:val="16"/>
        <w:rPr>
          <w:rFonts w:ascii="仿宋" w:hAnsi="仿宋"/>
          <w:color w:val="000000" w:themeColor="text1"/>
          <w14:textFill>
            <w14:solidFill>
              <w14:schemeClr w14:val="tx1"/>
            </w14:solidFill>
          </w14:textFill>
        </w:rPr>
      </w:pPr>
      <w:bookmarkStart w:id="9" w:name="_Toc100580728"/>
      <w:r>
        <w:rPr>
          <w:rFonts w:hint="eastAsia" w:ascii="仿宋" w:hAnsi="仿宋"/>
          <w:color w:val="000000" w:themeColor="text1"/>
          <w14:textFill>
            <w14:solidFill>
              <w14:schemeClr w14:val="tx1"/>
            </w14:solidFill>
          </w14:textFill>
        </w:rPr>
        <w:t>四、电子锁功能要求</w:t>
      </w:r>
      <w:bookmarkEnd w:id="9"/>
    </w:p>
    <w:p w14:paraId="2FE963FC">
      <w:pPr>
        <w:pStyle w:val="14"/>
        <w:rPr>
          <w:rFonts w:ascii="仿宋" w:hAnsi="仿宋"/>
          <w:color w:val="000000" w:themeColor="text1"/>
          <w:highlight w:val="green"/>
          <w14:textFill>
            <w14:solidFill>
              <w14:schemeClr w14:val="tx1"/>
            </w14:solidFill>
          </w14:textFill>
        </w:rPr>
      </w:pPr>
      <w:bookmarkStart w:id="10" w:name="_Toc100580729"/>
      <w:r>
        <w:rPr>
          <w:rFonts w:ascii="仿宋" w:hAnsi="仿宋"/>
          <w:color w:val="000000" w:themeColor="text1"/>
          <w:highlight w:val="green"/>
          <w14:textFill>
            <w14:solidFill>
              <w14:schemeClr w14:val="tx1"/>
            </w14:solidFill>
          </w14:textFill>
        </w:rPr>
        <w:t>4.</w:t>
      </w:r>
      <w:r>
        <w:rPr>
          <w:rFonts w:hint="eastAsia" w:ascii="仿宋" w:hAnsi="仿宋"/>
          <w:color w:val="000000" w:themeColor="text1"/>
          <w:highlight w:val="green"/>
          <w14:textFill>
            <w14:solidFill>
              <w14:schemeClr w14:val="tx1"/>
            </w14:solidFill>
          </w14:textFill>
        </w:rPr>
        <w:t>1信息保存</w:t>
      </w:r>
      <w:bookmarkEnd w:id="10"/>
    </w:p>
    <w:p w14:paraId="1FD083F3">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highlight w:val="green"/>
          <w14:textFill>
            <w14:solidFill>
              <w14:schemeClr w14:val="tx1"/>
            </w14:solidFill>
          </w14:textFill>
        </w:rPr>
        <w:t>电子锁在断电1</w:t>
      </w:r>
      <w:r>
        <w:rPr>
          <w:rFonts w:ascii="仿宋" w:hAnsi="仿宋" w:eastAsia="仿宋"/>
          <w:color w:val="000000" w:themeColor="text1"/>
          <w:highlight w:val="green"/>
          <w14:textFill>
            <w14:solidFill>
              <w14:schemeClr w14:val="tx1"/>
            </w14:solidFill>
          </w14:textFill>
        </w:rPr>
        <w:t>68h</w:t>
      </w:r>
      <w:r>
        <w:rPr>
          <w:rFonts w:hint="eastAsia" w:ascii="仿宋" w:hAnsi="仿宋" w:eastAsia="仿宋"/>
          <w:color w:val="000000" w:themeColor="text1"/>
          <w:highlight w:val="green"/>
          <w14:textFill>
            <w14:solidFill>
              <w14:schemeClr w14:val="tx1"/>
            </w14:solidFill>
          </w14:textFill>
        </w:rPr>
        <w:t>后锁内保存的信息不应丢失，电源恢复正常后，电子锁应能正常启闭。</w:t>
      </w:r>
    </w:p>
    <w:p w14:paraId="6E613580">
      <w:pPr>
        <w:pStyle w:val="14"/>
        <w:rPr>
          <w:rFonts w:ascii="仿宋" w:hAnsi="仿宋"/>
          <w:color w:val="000000" w:themeColor="text1"/>
          <w:highlight w:val="green"/>
          <w14:textFill>
            <w14:solidFill>
              <w14:schemeClr w14:val="tx1"/>
            </w14:solidFill>
          </w14:textFill>
        </w:rPr>
      </w:pPr>
      <w:bookmarkStart w:id="11" w:name="_Toc100580730"/>
      <w:r>
        <w:rPr>
          <w:rFonts w:ascii="仿宋" w:hAnsi="仿宋"/>
          <w:color w:val="000000" w:themeColor="text1"/>
          <w:highlight w:val="green"/>
          <w14:textFill>
            <w14:solidFill>
              <w14:schemeClr w14:val="tx1"/>
            </w14:solidFill>
          </w14:textFill>
        </w:rPr>
        <w:t>4.2</w:t>
      </w:r>
      <w:r>
        <w:rPr>
          <w:rFonts w:hint="eastAsia" w:ascii="仿宋" w:hAnsi="仿宋"/>
          <w:color w:val="000000" w:themeColor="text1"/>
          <w:highlight w:val="green"/>
          <w14:textFill>
            <w14:solidFill>
              <w14:schemeClr w14:val="tx1"/>
            </w14:solidFill>
          </w14:textFill>
        </w:rPr>
        <w:t>使用权限管理</w:t>
      </w:r>
      <w:bookmarkEnd w:id="11"/>
    </w:p>
    <w:p w14:paraId="29B94AB4">
      <w:pPr>
        <w:ind w:firstLine="420" w:firstLineChars="200"/>
        <w:rPr>
          <w:rFonts w:ascii="仿宋" w:hAnsi="仿宋" w:eastAsia="仿宋"/>
          <w:color w:val="000000" w:themeColor="text1"/>
          <w:highlight w:val="green"/>
          <w14:textFill>
            <w14:solidFill>
              <w14:schemeClr w14:val="tx1"/>
            </w14:solidFill>
          </w14:textFill>
        </w:rPr>
      </w:pPr>
      <w:r>
        <w:rPr>
          <w:rFonts w:hint="eastAsia" w:ascii="仿宋" w:hAnsi="仿宋" w:eastAsia="仿宋"/>
          <w:color w:val="000000" w:themeColor="text1"/>
          <w:highlight w:val="green"/>
          <w14:textFill>
            <w14:solidFill>
              <w14:schemeClr w14:val="tx1"/>
            </w14:solidFill>
          </w14:textFill>
        </w:rPr>
        <w:t>电子锁应具有用户使用权限功能，在添加或删除用户的过程中，因具有相应的授权机制。</w:t>
      </w:r>
    </w:p>
    <w:p w14:paraId="509106A0">
      <w:pPr>
        <w:pStyle w:val="14"/>
        <w:rPr>
          <w:rFonts w:ascii="仿宋" w:hAnsi="仿宋"/>
          <w:color w:val="000000" w:themeColor="text1"/>
          <w:highlight w:val="none"/>
          <w14:textFill>
            <w14:solidFill>
              <w14:schemeClr w14:val="tx1"/>
            </w14:solidFill>
          </w14:textFill>
        </w:rPr>
      </w:pPr>
      <w:bookmarkStart w:id="12" w:name="_Toc100580731"/>
      <w:r>
        <w:rPr>
          <w:rFonts w:ascii="仿宋" w:hAnsi="仿宋"/>
          <w:color w:val="000000" w:themeColor="text1"/>
          <w:highlight w:val="none"/>
          <w14:textFill>
            <w14:solidFill>
              <w14:schemeClr w14:val="tx1"/>
            </w14:solidFill>
          </w14:textFill>
        </w:rPr>
        <w:t>4.3</w:t>
      </w:r>
      <w:r>
        <w:rPr>
          <w:rFonts w:hint="eastAsia" w:ascii="仿宋" w:hAnsi="仿宋"/>
          <w:color w:val="000000" w:themeColor="text1"/>
          <w:highlight w:val="none"/>
          <w14:textFill>
            <w14:solidFill>
              <w14:schemeClr w14:val="tx1"/>
            </w14:solidFill>
          </w14:textFill>
        </w:rPr>
        <w:t>输入错误报警</w:t>
      </w:r>
      <w:bookmarkEnd w:id="12"/>
    </w:p>
    <w:p w14:paraId="3E5BA167">
      <w:p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4</w:t>
      </w:r>
      <w:r>
        <w:rPr>
          <w:rFonts w:ascii="仿宋" w:hAnsi="仿宋" w:eastAsia="仿宋"/>
          <w:color w:val="000000" w:themeColor="text1"/>
          <w:highlight w:val="none"/>
          <w14:textFill>
            <w14:solidFill>
              <w14:schemeClr w14:val="tx1"/>
            </w14:solidFill>
          </w14:textFill>
        </w:rPr>
        <w:t xml:space="preserve">.3.1 </w:t>
      </w:r>
      <w:r>
        <w:rPr>
          <w:rFonts w:hint="eastAsia" w:ascii="仿宋" w:hAnsi="仿宋" w:eastAsia="仿宋"/>
          <w:color w:val="000000" w:themeColor="text1"/>
          <w:highlight w:val="none"/>
          <w14:textFill>
            <w14:solidFill>
              <w14:schemeClr w14:val="tx1"/>
            </w14:solidFill>
          </w14:textFill>
        </w:rPr>
        <w:t>未授权的数字钥匙和/或P</w:t>
      </w:r>
      <w:r>
        <w:rPr>
          <w:rFonts w:ascii="仿宋" w:hAnsi="仿宋" w:eastAsia="仿宋"/>
          <w:color w:val="000000" w:themeColor="text1"/>
          <w:highlight w:val="none"/>
          <w14:textFill>
            <w14:solidFill>
              <w14:schemeClr w14:val="tx1"/>
            </w14:solidFill>
          </w14:textFill>
        </w:rPr>
        <w:t>IN</w:t>
      </w:r>
      <w:r>
        <w:rPr>
          <w:rFonts w:hint="eastAsia" w:ascii="仿宋" w:hAnsi="仿宋" w:eastAsia="仿宋"/>
          <w:color w:val="000000" w:themeColor="text1"/>
          <w:highlight w:val="none"/>
          <w14:textFill>
            <w14:solidFill>
              <w14:schemeClr w14:val="tx1"/>
            </w14:solidFill>
          </w14:textFill>
        </w:rPr>
        <w:t>钥匙和/或生物钥匙在5m</w:t>
      </w:r>
      <w:r>
        <w:rPr>
          <w:rFonts w:ascii="仿宋" w:hAnsi="仿宋" w:eastAsia="仿宋"/>
          <w:color w:val="000000" w:themeColor="text1"/>
          <w:highlight w:val="none"/>
          <w14:textFill>
            <w14:solidFill>
              <w14:schemeClr w14:val="tx1"/>
            </w14:solidFill>
          </w14:textFill>
        </w:rPr>
        <w:t>in</w:t>
      </w:r>
      <w:r>
        <w:rPr>
          <w:rFonts w:hint="eastAsia" w:ascii="仿宋" w:hAnsi="仿宋" w:eastAsia="仿宋"/>
          <w:color w:val="000000" w:themeColor="text1"/>
          <w:highlight w:val="none"/>
          <w14:textFill>
            <w14:solidFill>
              <w14:schemeClr w14:val="tx1"/>
            </w14:solidFill>
          </w14:textFill>
        </w:rPr>
        <w:t>内连续错误输入次数应为5次。</w:t>
      </w:r>
    </w:p>
    <w:p w14:paraId="1737D754">
      <w:p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4</w:t>
      </w:r>
      <w:r>
        <w:rPr>
          <w:rFonts w:ascii="仿宋" w:hAnsi="仿宋" w:eastAsia="仿宋"/>
          <w:color w:val="000000" w:themeColor="text1"/>
          <w:highlight w:val="none"/>
          <w14:textFill>
            <w14:solidFill>
              <w14:schemeClr w14:val="tx1"/>
            </w14:solidFill>
          </w14:textFill>
        </w:rPr>
        <w:t xml:space="preserve">.3.2 </w:t>
      </w:r>
      <w:r>
        <w:rPr>
          <w:rFonts w:hint="eastAsia" w:ascii="仿宋" w:hAnsi="仿宋" w:eastAsia="仿宋"/>
          <w:color w:val="000000" w:themeColor="text1"/>
          <w:highlight w:val="none"/>
          <w14:textFill>
            <w14:solidFill>
              <w14:schemeClr w14:val="tx1"/>
            </w14:solidFill>
          </w14:textFill>
        </w:rPr>
        <w:t>当连续错误输入达到3次时，应能发出声和/或光和/或电信号输出，提示错误输入信息；</w:t>
      </w:r>
    </w:p>
    <w:p w14:paraId="539A4F0D">
      <w:p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4</w:t>
      </w:r>
      <w:r>
        <w:rPr>
          <w:rFonts w:ascii="仿宋" w:hAnsi="仿宋" w:eastAsia="仿宋"/>
          <w:color w:val="000000" w:themeColor="text1"/>
          <w:highlight w:val="none"/>
          <w14:textFill>
            <w14:solidFill>
              <w14:schemeClr w14:val="tx1"/>
            </w14:solidFill>
          </w14:textFill>
        </w:rPr>
        <w:t xml:space="preserve">.3.3 </w:t>
      </w:r>
      <w:r>
        <w:rPr>
          <w:rFonts w:hint="eastAsia" w:ascii="仿宋" w:hAnsi="仿宋" w:eastAsia="仿宋"/>
          <w:color w:val="000000" w:themeColor="text1"/>
          <w:highlight w:val="none"/>
          <w14:textFill>
            <w14:solidFill>
              <w14:schemeClr w14:val="tx1"/>
            </w14:solidFill>
          </w14:textFill>
        </w:rPr>
        <w:t>当连续错误输入次数达到5次，电子锁应能给出报警提示和/或发出报警信息，同时电子锁应能自动进入无效输入状态，且无效输入状态应至少持续9</w:t>
      </w:r>
      <w:r>
        <w:rPr>
          <w:rFonts w:ascii="仿宋" w:hAnsi="仿宋" w:eastAsia="仿宋"/>
          <w:color w:val="000000" w:themeColor="text1"/>
          <w:highlight w:val="none"/>
          <w14:textFill>
            <w14:solidFill>
              <w14:schemeClr w14:val="tx1"/>
            </w14:solidFill>
          </w14:textFill>
        </w:rPr>
        <w:t>0s</w:t>
      </w:r>
      <w:r>
        <w:rPr>
          <w:rFonts w:hint="eastAsia" w:ascii="仿宋" w:hAnsi="仿宋" w:eastAsia="仿宋"/>
          <w:color w:val="000000" w:themeColor="text1"/>
          <w:highlight w:val="none"/>
          <w14:textFill>
            <w14:solidFill>
              <w14:schemeClr w14:val="tx1"/>
            </w14:solidFill>
          </w14:textFill>
        </w:rPr>
        <w:t>。</w:t>
      </w:r>
    </w:p>
    <w:p w14:paraId="3AC3570C">
      <w:pPr>
        <w:pStyle w:val="14"/>
        <w:rPr>
          <w:rFonts w:ascii="仿宋" w:hAnsi="仿宋"/>
          <w:color w:val="000000" w:themeColor="text1"/>
          <w:highlight w:val="green"/>
          <w14:textFill>
            <w14:solidFill>
              <w14:schemeClr w14:val="tx1"/>
            </w14:solidFill>
          </w14:textFill>
        </w:rPr>
      </w:pPr>
      <w:bookmarkStart w:id="13" w:name="_Toc100580732"/>
      <w:r>
        <w:rPr>
          <w:rFonts w:ascii="仿宋" w:hAnsi="仿宋"/>
          <w:color w:val="000000" w:themeColor="text1"/>
          <w:highlight w:val="green"/>
          <w14:textFill>
            <w14:solidFill>
              <w14:schemeClr w14:val="tx1"/>
            </w14:solidFill>
          </w14:textFill>
        </w:rPr>
        <w:t>4.4</w:t>
      </w:r>
      <w:r>
        <w:rPr>
          <w:rFonts w:hint="eastAsia" w:ascii="仿宋" w:hAnsi="仿宋"/>
          <w:color w:val="000000" w:themeColor="text1"/>
          <w:highlight w:val="green"/>
          <w14:textFill>
            <w14:solidFill>
              <w14:schemeClr w14:val="tx1"/>
            </w14:solidFill>
          </w14:textFill>
        </w:rPr>
        <w:t>防拆报警</w:t>
      </w:r>
      <w:bookmarkEnd w:id="13"/>
    </w:p>
    <w:p w14:paraId="167FD2E9">
      <w:pPr>
        <w:ind w:firstLine="420" w:firstLineChars="200"/>
        <w:rPr>
          <w:rFonts w:ascii="仿宋" w:hAnsi="仿宋" w:eastAsia="仿宋"/>
          <w:color w:val="000000" w:themeColor="text1"/>
          <w:highlight w:val="green"/>
          <w14:textFill>
            <w14:solidFill>
              <w14:schemeClr w14:val="tx1"/>
            </w14:solidFill>
          </w14:textFill>
        </w:rPr>
      </w:pPr>
      <w:r>
        <w:rPr>
          <w:rFonts w:hint="eastAsia" w:ascii="仿宋" w:hAnsi="仿宋" w:eastAsia="仿宋"/>
          <w:color w:val="000000" w:themeColor="text1"/>
          <w:highlight w:val="green"/>
          <w14:textFill>
            <w14:solidFill>
              <w14:schemeClr w14:val="tx1"/>
            </w14:solidFill>
          </w14:textFill>
        </w:rPr>
        <w:t>当拆除电子锁的防护面时，应能给出报警提示和/或发出报警信息。</w:t>
      </w:r>
    </w:p>
    <w:p w14:paraId="79F58D84">
      <w:pPr>
        <w:pStyle w:val="14"/>
        <w:rPr>
          <w:rFonts w:ascii="仿宋" w:hAnsi="仿宋"/>
          <w:color w:val="000000" w:themeColor="text1"/>
          <w14:textFill>
            <w14:solidFill>
              <w14:schemeClr w14:val="tx1"/>
            </w14:solidFill>
          </w14:textFill>
        </w:rPr>
      </w:pPr>
      <w:bookmarkStart w:id="14" w:name="_Toc100580733"/>
      <w:r>
        <w:rPr>
          <w:rFonts w:ascii="仿宋" w:hAnsi="仿宋"/>
          <w:color w:val="000000" w:themeColor="text1"/>
          <w14:textFill>
            <w14:solidFill>
              <w14:schemeClr w14:val="tx1"/>
            </w14:solidFill>
          </w14:textFill>
        </w:rPr>
        <w:t>4.</w:t>
      </w:r>
      <w:r>
        <w:rPr>
          <w:rFonts w:hint="eastAsia" w:ascii="仿宋" w:hAnsi="仿宋"/>
          <w:color w:val="000000" w:themeColor="text1"/>
          <w14:textFill>
            <w14:solidFill>
              <w14:schemeClr w14:val="tx1"/>
            </w14:solidFill>
          </w14:textFill>
        </w:rPr>
        <w:t>5事件记录</w:t>
      </w:r>
      <w:bookmarkEnd w:id="14"/>
    </w:p>
    <w:p w14:paraId="2ADA31C7">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 xml:space="preserve">.5.1 </w:t>
      </w:r>
      <w:r>
        <w:rPr>
          <w:rFonts w:hint="eastAsia" w:ascii="仿宋" w:hAnsi="仿宋" w:eastAsia="仿宋"/>
          <w:color w:val="000000" w:themeColor="text1"/>
          <w14:textFill>
            <w14:solidFill>
              <w14:schemeClr w14:val="tx1"/>
            </w14:solidFill>
          </w14:textFill>
        </w:rPr>
        <w:t>应能在电子锁本体上对开锁、用户添加或删除等操作生成相应的事件记录，并应能对事件记录进行查询，记录内容至少应包含时间、用户、事件类型、数字钥匙和/或P</w:t>
      </w:r>
      <w:r>
        <w:rPr>
          <w:rFonts w:ascii="仿宋" w:hAnsi="仿宋" w:eastAsia="仿宋"/>
          <w:color w:val="000000" w:themeColor="text1"/>
          <w14:textFill>
            <w14:solidFill>
              <w14:schemeClr w14:val="tx1"/>
            </w14:solidFill>
          </w14:textFill>
        </w:rPr>
        <w:t>IN</w:t>
      </w:r>
      <w:r>
        <w:rPr>
          <w:rFonts w:hint="eastAsia" w:ascii="仿宋" w:hAnsi="仿宋" w:eastAsia="仿宋"/>
          <w:color w:val="000000" w:themeColor="text1"/>
          <w14:textFill>
            <w14:solidFill>
              <w14:schemeClr w14:val="tx1"/>
            </w14:solidFill>
          </w14:textFill>
        </w:rPr>
        <w:t>钥匙和/或生物钥匙等信息。</w:t>
      </w:r>
    </w:p>
    <w:p w14:paraId="051F4DE1">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 xml:space="preserve">.5.2 </w:t>
      </w:r>
      <w:r>
        <w:rPr>
          <w:rFonts w:hint="eastAsia" w:ascii="仿宋" w:hAnsi="仿宋" w:eastAsia="仿宋"/>
          <w:color w:val="000000" w:themeColor="text1"/>
          <w14:textFill>
            <w14:solidFill>
              <w14:schemeClr w14:val="tx1"/>
            </w14:solidFill>
          </w14:textFill>
        </w:rPr>
        <w:t>事件记录的存储数量应不少于5</w:t>
      </w:r>
      <w:r>
        <w:rPr>
          <w:rFonts w:ascii="仿宋" w:hAnsi="仿宋" w:eastAsia="仿宋"/>
          <w:color w:val="000000" w:themeColor="text1"/>
          <w14:textFill>
            <w14:solidFill>
              <w14:schemeClr w14:val="tx1"/>
            </w14:solidFill>
          </w14:textFill>
        </w:rPr>
        <w:t>00</w:t>
      </w:r>
      <w:r>
        <w:rPr>
          <w:rFonts w:hint="eastAsia" w:ascii="仿宋" w:hAnsi="仿宋" w:eastAsia="仿宋"/>
          <w:color w:val="000000" w:themeColor="text1"/>
          <w14:textFill>
            <w14:solidFill>
              <w14:schemeClr w14:val="tx1"/>
            </w14:solidFill>
          </w14:textFill>
        </w:rPr>
        <w:t>条。</w:t>
      </w:r>
    </w:p>
    <w:p w14:paraId="5860C534">
      <w:pPr>
        <w:rPr>
          <w:rFonts w:hint="eastAsia" w:ascii="仿宋" w:hAnsi="仿宋" w:eastAsia="仿宋"/>
          <w:color w:val="000000" w:themeColor="text1"/>
          <w:lang w:eastAsia="zh-CN"/>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 xml:space="preserve">.5.3 </w:t>
      </w:r>
      <w:r>
        <w:rPr>
          <w:rFonts w:hint="eastAsia" w:ascii="仿宋" w:hAnsi="仿宋" w:eastAsia="仿宋"/>
          <w:color w:val="000000" w:themeColor="text1"/>
          <w14:textFill>
            <w14:solidFill>
              <w14:schemeClr w14:val="tx1"/>
            </w14:solidFill>
          </w14:textFill>
        </w:rPr>
        <w:t>信息记录查询方式</w:t>
      </w:r>
    </w:p>
    <w:p w14:paraId="493C25D3">
      <w:pPr>
        <w:spacing w:line="312" w:lineRule="auto"/>
        <w:rPr>
          <w:rFonts w:ascii="仿宋" w:hAnsi="仿宋" w:eastAsia="仿宋"/>
          <w:color w:val="000000" w:themeColor="text1"/>
          <w:szCs w:val="21"/>
          <w:highlight w:val="yellow"/>
          <w14:textFill>
            <w14:solidFill>
              <w14:schemeClr w14:val="tx1"/>
            </w14:solidFill>
          </w14:textFill>
        </w:rPr>
      </w:pP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w:t>
      </w:r>
      <w:r>
        <w:rPr>
          <w:rFonts w:ascii="仿宋" w:hAnsi="仿宋" w:eastAsia="仿宋"/>
          <w:color w:val="000000" w:themeColor="text1"/>
          <w:szCs w:val="21"/>
          <w:highlight w:val="none"/>
          <w14:textFill>
            <w14:solidFill>
              <w14:schemeClr w14:val="tx1"/>
            </w14:solidFill>
          </w14:textFill>
        </w:rPr>
        <w:t xml:space="preserve"> </w:t>
      </w:r>
      <w:r>
        <w:rPr>
          <w:rFonts w:hint="eastAsia" w:ascii="仿宋" w:hAnsi="仿宋" w:eastAsia="仿宋"/>
          <w:color w:val="000000" w:themeColor="text1"/>
          <w:szCs w:val="21"/>
          <w:highlight w:val="none"/>
          <w14:textFill>
            <w14:solidFill>
              <w14:schemeClr w14:val="tx1"/>
            </w14:solidFill>
          </w14:textFill>
        </w:rPr>
        <w:t>信息记录查询方式，应为网络传输至终端、本地信号音频、视频信号输出或由数据线导出等1种、多种或全部方式，如有其它特殊方式，应明示。</w:t>
      </w:r>
    </w:p>
    <w:p w14:paraId="3BBCF95E">
      <w:pPr>
        <w:pStyle w:val="14"/>
        <w:rPr>
          <w:rFonts w:ascii="仿宋" w:hAnsi="仿宋"/>
          <w:color w:val="000000" w:themeColor="text1"/>
          <w14:textFill>
            <w14:solidFill>
              <w14:schemeClr w14:val="tx1"/>
            </w14:solidFill>
          </w14:textFill>
        </w:rPr>
      </w:pPr>
      <w:bookmarkStart w:id="15" w:name="_Toc100580734"/>
      <w:r>
        <w:rPr>
          <w:rFonts w:ascii="仿宋" w:hAnsi="仿宋"/>
          <w:color w:val="000000" w:themeColor="text1"/>
          <w14:textFill>
            <w14:solidFill>
              <w14:schemeClr w14:val="tx1"/>
            </w14:solidFill>
          </w14:textFill>
        </w:rPr>
        <w:t>4.</w:t>
      </w:r>
      <w:r>
        <w:rPr>
          <w:rFonts w:hint="eastAsia" w:ascii="仿宋" w:hAnsi="仿宋"/>
          <w:color w:val="000000" w:themeColor="text1"/>
          <w14:textFill>
            <w14:solidFill>
              <w14:schemeClr w14:val="tx1"/>
            </w14:solidFill>
          </w14:textFill>
        </w:rPr>
        <w:t>6信息上传</w:t>
      </w:r>
      <w:bookmarkEnd w:id="15"/>
    </w:p>
    <w:p w14:paraId="20A8B5CC">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 xml:space="preserve">.6.1 </w:t>
      </w:r>
      <w:r>
        <w:rPr>
          <w:rFonts w:hint="eastAsia" w:ascii="仿宋" w:hAnsi="仿宋" w:eastAsia="仿宋"/>
          <w:color w:val="000000" w:themeColor="text1"/>
          <w14:textFill>
            <w14:solidFill>
              <w14:schemeClr w14:val="tx1"/>
            </w14:solidFill>
          </w14:textFill>
        </w:rPr>
        <w:t>若采用联网型电子锁，锁应能将本体上产生的输入错误报警、防拆报警及事件记录等信息上传至远程终端。</w:t>
      </w:r>
    </w:p>
    <w:p w14:paraId="79E597D6">
      <w:p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.6.2</w:t>
      </w:r>
      <w:r>
        <w:rPr>
          <w:rFonts w:ascii="仿宋" w:hAnsi="仿宋" w:eastAsia="仿宋"/>
          <w:color w:val="000000" w:themeColor="text1"/>
          <w:highlight w:val="none"/>
          <w14:textFill>
            <w14:solidFill>
              <w14:schemeClr w14:val="tx1"/>
            </w14:solidFill>
          </w14:textFill>
        </w:rPr>
        <w:t xml:space="preserve"> </w:t>
      </w:r>
      <w:r>
        <w:rPr>
          <w:rFonts w:hint="eastAsia" w:ascii="仿宋" w:hAnsi="仿宋" w:eastAsia="仿宋"/>
          <w:color w:val="000000" w:themeColor="text1"/>
          <w:highlight w:val="none"/>
          <w14:textFill>
            <w14:solidFill>
              <w14:schemeClr w14:val="tx1"/>
            </w14:solidFill>
          </w14:textFill>
        </w:rPr>
        <w:t>如联网型电子锁具备其它功能，包括但不限于锁舌、锁体、锁芯、开启/闭合、电量、人像扫描/感应、视频、控制等使用或状态信息功能，上述信息也应能够上传至远程终端。</w:t>
      </w:r>
    </w:p>
    <w:p w14:paraId="6CE25DDB">
      <w:pPr>
        <w:pStyle w:val="14"/>
        <w:rPr>
          <w:rFonts w:ascii="仿宋" w:hAnsi="仿宋"/>
          <w:color w:val="000000" w:themeColor="text1"/>
          <w14:textFill>
            <w14:solidFill>
              <w14:schemeClr w14:val="tx1"/>
            </w14:solidFill>
          </w14:textFill>
        </w:rPr>
      </w:pPr>
      <w:bookmarkStart w:id="16" w:name="_Toc100580735"/>
      <w:r>
        <w:rPr>
          <w:rFonts w:ascii="仿宋" w:hAnsi="仿宋"/>
          <w:color w:val="000000" w:themeColor="text1"/>
          <w14:textFill>
            <w14:solidFill>
              <w14:schemeClr w14:val="tx1"/>
            </w14:solidFill>
          </w14:textFill>
        </w:rPr>
        <w:t>4.</w:t>
      </w:r>
      <w:r>
        <w:rPr>
          <w:rFonts w:hint="eastAsia" w:ascii="仿宋" w:hAnsi="仿宋"/>
          <w:color w:val="000000" w:themeColor="text1"/>
          <w14:textFill>
            <w14:solidFill>
              <w14:schemeClr w14:val="tx1"/>
            </w14:solidFill>
          </w14:textFill>
        </w:rPr>
        <w:t>7计时误差</w:t>
      </w:r>
      <w:bookmarkEnd w:id="16"/>
    </w:p>
    <w:p w14:paraId="2C536437">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若采用联网型电子锁，锁应能自动进行校时，且2</w:t>
      </w:r>
      <w:r>
        <w:rPr>
          <w:rFonts w:ascii="仿宋" w:hAnsi="仿宋" w:eastAsia="仿宋"/>
          <w:color w:val="000000" w:themeColor="text1"/>
          <w14:textFill>
            <w14:solidFill>
              <w14:schemeClr w14:val="tx1"/>
            </w14:solidFill>
          </w14:textFill>
        </w:rPr>
        <w:t>4h</w:t>
      </w:r>
      <w:r>
        <w:rPr>
          <w:rFonts w:hint="eastAsia" w:ascii="仿宋" w:hAnsi="仿宋" w:eastAsia="仿宋"/>
          <w:color w:val="000000" w:themeColor="text1"/>
          <w14:textFill>
            <w14:solidFill>
              <w14:schemeClr w14:val="tx1"/>
            </w14:solidFill>
          </w14:textFill>
        </w:rPr>
        <w:t>计时误差应不大于5</w:t>
      </w:r>
      <w:r>
        <w:rPr>
          <w:rFonts w:ascii="仿宋" w:hAnsi="仿宋" w:eastAsia="仿宋"/>
          <w:color w:val="000000" w:themeColor="text1"/>
          <w14:textFill>
            <w14:solidFill>
              <w14:schemeClr w14:val="tx1"/>
            </w14:solidFill>
          </w14:textFill>
        </w:rPr>
        <w:t>s</w:t>
      </w:r>
      <w:r>
        <w:rPr>
          <w:rFonts w:hint="eastAsia" w:ascii="仿宋" w:hAnsi="仿宋" w:eastAsia="仿宋"/>
          <w:color w:val="000000" w:themeColor="text1"/>
          <w14:textFill>
            <w14:solidFill>
              <w14:schemeClr w14:val="tx1"/>
            </w14:solidFill>
          </w14:textFill>
        </w:rPr>
        <w:t>。</w:t>
      </w:r>
    </w:p>
    <w:p w14:paraId="4B6AD229">
      <w:pPr>
        <w:pStyle w:val="14"/>
        <w:rPr>
          <w:rFonts w:ascii="仿宋" w:hAnsi="仿宋"/>
          <w:color w:val="000000" w:themeColor="text1"/>
          <w14:textFill>
            <w14:solidFill>
              <w14:schemeClr w14:val="tx1"/>
            </w14:solidFill>
          </w14:textFill>
        </w:rPr>
      </w:pPr>
      <w:bookmarkStart w:id="17" w:name="_Toc100580736"/>
      <w:r>
        <w:rPr>
          <w:rFonts w:ascii="仿宋" w:hAnsi="仿宋"/>
          <w:color w:val="000000" w:themeColor="text1"/>
          <w14:textFill>
            <w14:solidFill>
              <w14:schemeClr w14:val="tx1"/>
            </w14:solidFill>
          </w14:textFill>
        </w:rPr>
        <w:t>4.8</w:t>
      </w:r>
      <w:r>
        <w:rPr>
          <w:rFonts w:hint="eastAsia" w:ascii="仿宋" w:hAnsi="仿宋"/>
          <w:color w:val="000000" w:themeColor="text1"/>
          <w14:textFill>
            <w14:solidFill>
              <w14:schemeClr w14:val="tx1"/>
            </w14:solidFill>
          </w14:textFill>
        </w:rPr>
        <w:t>使用时限</w:t>
      </w:r>
      <w:bookmarkEnd w:id="17"/>
      <w:r>
        <w:rPr>
          <w:rFonts w:hint="eastAsia" w:ascii="仿宋" w:hAnsi="仿宋"/>
          <w:color w:val="000000" w:themeColor="text1"/>
          <w14:textFill>
            <w14:solidFill>
              <w14:schemeClr w14:val="tx1"/>
            </w14:solidFill>
          </w14:textFill>
        </w:rPr>
        <w:t>功能要求</w:t>
      </w:r>
    </w:p>
    <w:p w14:paraId="1369AAB5">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.8.1</w:t>
      </w:r>
      <w:r>
        <w:rPr>
          <w:rFonts w:hint="eastAsia" w:ascii="仿宋" w:hAnsi="仿宋" w:eastAsia="仿宋"/>
          <w:color w:val="000000" w:themeColor="text1"/>
          <w14:textFill>
            <w14:solidFill>
              <w14:schemeClr w14:val="tx1"/>
            </w14:solidFill>
          </w14:textFill>
        </w:rPr>
        <w:t>电子锁，临时密码功能，临时密码应有使用时限。在使用时限内，应能按照设定开启次数（开启次数≥1次）正常开锁，超出使用时限的密码应不能控制开锁</w:t>
      </w:r>
    </w:p>
    <w:p w14:paraId="04FB03BB">
      <w:p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.8.2</w:t>
      </w:r>
      <w:r>
        <w:rPr>
          <w:rFonts w:ascii="仿宋" w:hAnsi="仿宋" w:eastAsia="仿宋"/>
          <w:color w:val="000000" w:themeColor="text1"/>
          <w:highlight w:val="none"/>
          <w14:textFill>
            <w14:solidFill>
              <w14:schemeClr w14:val="tx1"/>
            </w14:solidFill>
          </w14:textFill>
        </w:rPr>
        <w:t xml:space="preserve"> </w:t>
      </w:r>
      <w:r>
        <w:rPr>
          <w:rFonts w:hint="eastAsia" w:ascii="仿宋" w:hAnsi="仿宋" w:eastAsia="仿宋"/>
          <w:color w:val="000000" w:themeColor="text1"/>
          <w:highlight w:val="none"/>
          <w14:textFill>
            <w14:solidFill>
              <w14:schemeClr w14:val="tx1"/>
            </w14:solidFill>
          </w14:textFill>
        </w:rPr>
        <w:t>联网型电子锁，应有授时、授次、临时密码功能，并应能设置使用时限，在使用时限内，应能按照设定开启次数（开启次数≥1次）、设定开启时间正常开锁，超出设定次数、使用时限的密码应不能控制开锁</w:t>
      </w:r>
    </w:p>
    <w:p w14:paraId="541EDA74">
      <w:p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 xml:space="preserve">.8.3 </w:t>
      </w:r>
      <w:r>
        <w:rPr>
          <w:rFonts w:hint="eastAsia" w:ascii="仿宋" w:hAnsi="仿宋" w:eastAsia="仿宋"/>
          <w:color w:val="000000" w:themeColor="text1"/>
          <w:highlight w:val="none"/>
          <w14:textFill>
            <w14:solidFill>
              <w14:schemeClr w14:val="tx1"/>
            </w14:solidFill>
          </w14:textFill>
        </w:rPr>
        <w:t>联网型电子锁如采用其它方式（数字钥匙和/或P</w:t>
      </w:r>
      <w:r>
        <w:rPr>
          <w:rFonts w:ascii="仿宋" w:hAnsi="仿宋" w:eastAsia="仿宋"/>
          <w:color w:val="000000" w:themeColor="text1"/>
          <w:highlight w:val="none"/>
          <w14:textFill>
            <w14:solidFill>
              <w14:schemeClr w14:val="tx1"/>
            </w14:solidFill>
          </w14:textFill>
        </w:rPr>
        <w:t>IN</w:t>
      </w:r>
      <w:r>
        <w:rPr>
          <w:rFonts w:hint="eastAsia" w:ascii="仿宋" w:hAnsi="仿宋" w:eastAsia="仿宋"/>
          <w:color w:val="000000" w:themeColor="text1"/>
          <w:highlight w:val="none"/>
          <w14:textFill>
            <w14:solidFill>
              <w14:schemeClr w14:val="tx1"/>
            </w14:solidFill>
          </w14:textFill>
        </w:rPr>
        <w:t>钥匙和/或生物钥匙）应能设置锁的使用时限，在使用时限内数字钥匙和/或P</w:t>
      </w:r>
      <w:r>
        <w:rPr>
          <w:rFonts w:ascii="仿宋" w:hAnsi="仿宋" w:eastAsia="仿宋"/>
          <w:color w:val="000000" w:themeColor="text1"/>
          <w:highlight w:val="none"/>
          <w14:textFill>
            <w14:solidFill>
              <w14:schemeClr w14:val="tx1"/>
            </w14:solidFill>
          </w14:textFill>
        </w:rPr>
        <w:t>IN</w:t>
      </w:r>
      <w:r>
        <w:rPr>
          <w:rFonts w:hint="eastAsia" w:ascii="仿宋" w:hAnsi="仿宋" w:eastAsia="仿宋"/>
          <w:color w:val="000000" w:themeColor="text1"/>
          <w:highlight w:val="none"/>
          <w14:textFill>
            <w14:solidFill>
              <w14:schemeClr w14:val="tx1"/>
            </w14:solidFill>
          </w14:textFill>
        </w:rPr>
        <w:t>钥匙和/或生物钥匙应能正常开锁，超出使用时限的数字钥匙和/或P</w:t>
      </w:r>
      <w:r>
        <w:rPr>
          <w:rFonts w:ascii="仿宋" w:hAnsi="仿宋" w:eastAsia="仿宋"/>
          <w:color w:val="000000" w:themeColor="text1"/>
          <w:highlight w:val="none"/>
          <w14:textFill>
            <w14:solidFill>
              <w14:schemeClr w14:val="tx1"/>
            </w14:solidFill>
          </w14:textFill>
        </w:rPr>
        <w:t>IN</w:t>
      </w:r>
      <w:r>
        <w:rPr>
          <w:rFonts w:hint="eastAsia" w:ascii="仿宋" w:hAnsi="仿宋" w:eastAsia="仿宋"/>
          <w:color w:val="000000" w:themeColor="text1"/>
          <w:highlight w:val="none"/>
          <w14:textFill>
            <w14:solidFill>
              <w14:schemeClr w14:val="tx1"/>
            </w14:solidFill>
          </w14:textFill>
        </w:rPr>
        <w:t>码钥匙和/或生物钥匙应不能控制开锁。</w:t>
      </w:r>
    </w:p>
    <w:p w14:paraId="72F53D02">
      <w:pPr>
        <w:pStyle w:val="14"/>
        <w:rPr>
          <w:rFonts w:ascii="仿宋" w:hAnsi="仿宋"/>
          <w:color w:val="000000" w:themeColor="text1"/>
          <w14:textFill>
            <w14:solidFill>
              <w14:schemeClr w14:val="tx1"/>
            </w14:solidFill>
          </w14:textFill>
        </w:rPr>
      </w:pPr>
      <w:bookmarkStart w:id="18" w:name="_Toc100580737"/>
      <w:r>
        <w:rPr>
          <w:rFonts w:ascii="仿宋" w:hAnsi="仿宋"/>
          <w:color w:val="000000" w:themeColor="text1"/>
          <w14:textFill>
            <w14:solidFill>
              <w14:schemeClr w14:val="tx1"/>
            </w14:solidFill>
          </w14:textFill>
        </w:rPr>
        <w:t>4.9</w:t>
      </w:r>
      <w:r>
        <w:rPr>
          <w:rFonts w:hint="eastAsia" w:ascii="仿宋" w:hAnsi="仿宋"/>
          <w:color w:val="000000" w:themeColor="text1"/>
          <w14:textFill>
            <w14:solidFill>
              <w14:schemeClr w14:val="tx1"/>
            </w14:solidFill>
          </w14:textFill>
        </w:rPr>
        <w:t>访问控制</w:t>
      </w:r>
      <w:bookmarkEnd w:id="18"/>
    </w:p>
    <w:p w14:paraId="6DFDBD1E">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若采用联网型电子锁，在访问锁的远程终端时，应具有相应的身份认证方式（如采用用户名、口令或生物认证方</w:t>
      </w:r>
      <w:r>
        <w:rPr>
          <w:rFonts w:hint="eastAsia" w:ascii="仿宋" w:hAnsi="仿宋" w:eastAsia="仿宋"/>
          <w:color w:val="000000" w:themeColor="text1"/>
          <w:highlight w:val="none"/>
          <w14:textFill>
            <w14:solidFill>
              <w14:schemeClr w14:val="tx1"/>
            </w14:solidFill>
          </w14:textFill>
        </w:rPr>
        <w:t>式），且应能正常开锁。</w:t>
      </w:r>
    </w:p>
    <w:p w14:paraId="4A3FBF40">
      <w:pPr>
        <w:pStyle w:val="14"/>
        <w:rPr>
          <w:rFonts w:ascii="仿宋" w:hAnsi="仿宋"/>
          <w:color w:val="000000" w:themeColor="text1"/>
          <w:highlight w:val="green"/>
          <w14:textFill>
            <w14:solidFill>
              <w14:schemeClr w14:val="tx1"/>
            </w14:solidFill>
          </w14:textFill>
        </w:rPr>
      </w:pPr>
      <w:bookmarkStart w:id="19" w:name="_Toc100580738"/>
      <w:r>
        <w:rPr>
          <w:rFonts w:ascii="仿宋" w:hAnsi="仿宋"/>
          <w:color w:val="000000" w:themeColor="text1"/>
          <w:highlight w:val="green"/>
          <w14:textFill>
            <w14:solidFill>
              <w14:schemeClr w14:val="tx1"/>
            </w14:solidFill>
          </w14:textFill>
        </w:rPr>
        <w:t>4.10</w:t>
      </w:r>
      <w:r>
        <w:rPr>
          <w:rFonts w:hint="eastAsia" w:ascii="仿宋" w:hAnsi="仿宋"/>
          <w:color w:val="000000" w:themeColor="text1"/>
          <w:highlight w:val="green"/>
          <w14:textFill>
            <w14:solidFill>
              <w14:schemeClr w14:val="tx1"/>
            </w14:solidFill>
          </w14:textFill>
        </w:rPr>
        <w:t>胁迫报警</w:t>
      </w:r>
      <w:bookmarkEnd w:id="19"/>
    </w:p>
    <w:p w14:paraId="1DC6FF0B">
      <w:pPr>
        <w:ind w:firstLine="420" w:firstLineChars="200"/>
        <w:rPr>
          <w:rFonts w:ascii="仿宋" w:hAnsi="仿宋" w:eastAsia="仿宋"/>
          <w:color w:val="000000" w:themeColor="text1"/>
          <w:highlight w:val="green"/>
          <w14:textFill>
            <w14:solidFill>
              <w14:schemeClr w14:val="tx1"/>
            </w14:solidFill>
          </w14:textFill>
        </w:rPr>
      </w:pPr>
      <w:r>
        <w:rPr>
          <w:rFonts w:hint="eastAsia" w:ascii="仿宋" w:hAnsi="仿宋" w:eastAsia="仿宋"/>
          <w:color w:val="000000" w:themeColor="text1"/>
          <w:highlight w:val="green"/>
          <w14:textFill>
            <w14:solidFill>
              <w14:schemeClr w14:val="tx1"/>
            </w14:solidFill>
          </w14:textFill>
        </w:rPr>
        <w:t>若采用具有胁迫报警功能的联网型电子锁，在本体上输入胁迫信息后，应能向远程终端发出胁迫报警信息，同时在本体上不应有报警提示，且能正常开锁。</w:t>
      </w:r>
    </w:p>
    <w:p w14:paraId="2D4FDF5F">
      <w:pPr>
        <w:pStyle w:val="14"/>
        <w:rPr>
          <w:rFonts w:ascii="仿宋" w:hAnsi="仿宋"/>
          <w:color w:val="000000" w:themeColor="text1"/>
          <w14:textFill>
            <w14:solidFill>
              <w14:schemeClr w14:val="tx1"/>
            </w14:solidFill>
          </w14:textFill>
        </w:rPr>
      </w:pPr>
      <w:bookmarkStart w:id="20" w:name="_Toc100580739"/>
      <w:r>
        <w:rPr>
          <w:rFonts w:ascii="仿宋" w:hAnsi="仿宋"/>
          <w:color w:val="000000" w:themeColor="text1"/>
          <w14:textFill>
            <w14:solidFill>
              <w14:schemeClr w14:val="tx1"/>
            </w14:solidFill>
          </w14:textFill>
        </w:rPr>
        <w:t>4.11</w:t>
      </w:r>
      <w:r>
        <w:rPr>
          <w:rFonts w:hint="eastAsia" w:ascii="仿宋" w:hAnsi="仿宋"/>
          <w:color w:val="000000" w:themeColor="text1"/>
          <w14:textFill>
            <w14:solidFill>
              <w14:schemeClr w14:val="tx1"/>
            </w14:solidFill>
          </w14:textFill>
        </w:rPr>
        <w:t>编码组合数要求</w:t>
      </w:r>
      <w:bookmarkEnd w:id="20"/>
    </w:p>
    <w:p w14:paraId="4AA590C0">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采用数字钥匙和/或P</w:t>
      </w:r>
      <w:r>
        <w:rPr>
          <w:rFonts w:ascii="仿宋" w:hAnsi="仿宋" w:eastAsia="仿宋"/>
          <w:color w:val="000000" w:themeColor="text1"/>
          <w14:textFill>
            <w14:solidFill>
              <w14:schemeClr w14:val="tx1"/>
            </w14:solidFill>
          </w14:textFill>
        </w:rPr>
        <w:t>IN</w:t>
      </w:r>
      <w:r>
        <w:rPr>
          <w:rFonts w:hint="eastAsia" w:ascii="仿宋" w:hAnsi="仿宋" w:eastAsia="仿宋"/>
          <w:color w:val="000000" w:themeColor="text1"/>
          <w14:textFill>
            <w14:solidFill>
              <w14:schemeClr w14:val="tx1"/>
            </w14:solidFill>
          </w14:textFill>
        </w:rPr>
        <w:t>钥匙控制开锁的电子锁，其编码组合数应不少于1</w:t>
      </w:r>
      <w:r>
        <w:rPr>
          <w:rFonts w:ascii="仿宋" w:hAnsi="仿宋" w:eastAsia="仿宋"/>
          <w:color w:val="000000" w:themeColor="text1"/>
          <w14:textFill>
            <w14:solidFill>
              <w14:schemeClr w14:val="tx1"/>
            </w14:solidFill>
          </w14:textFill>
        </w:rPr>
        <w:t>0</w:t>
      </w:r>
      <w:r>
        <w:rPr>
          <w:rFonts w:ascii="仿宋" w:hAnsi="仿宋" w:eastAsia="仿宋"/>
          <w:color w:val="000000" w:themeColor="text1"/>
          <w:vertAlign w:val="superscript"/>
          <w14:textFill>
            <w14:solidFill>
              <w14:schemeClr w14:val="tx1"/>
            </w14:solidFill>
          </w14:textFill>
        </w:rPr>
        <w:t>6</w:t>
      </w:r>
      <w:r>
        <w:rPr>
          <w:rFonts w:hint="eastAsia" w:ascii="仿宋" w:hAnsi="仿宋" w:eastAsia="仿宋"/>
          <w:color w:val="000000" w:themeColor="text1"/>
          <w14:textFill>
            <w14:solidFill>
              <w14:schemeClr w14:val="tx1"/>
            </w14:solidFill>
          </w14:textFill>
        </w:rPr>
        <w:t>个。</w:t>
      </w:r>
    </w:p>
    <w:p w14:paraId="7E89E66D">
      <w:pPr>
        <w:pStyle w:val="14"/>
        <w:rPr>
          <w:rFonts w:ascii="仿宋" w:hAnsi="仿宋"/>
          <w:color w:val="000000" w:themeColor="text1"/>
          <w14:textFill>
            <w14:solidFill>
              <w14:schemeClr w14:val="tx1"/>
            </w14:solidFill>
          </w14:textFill>
        </w:rPr>
      </w:pPr>
      <w:bookmarkStart w:id="21" w:name="_Toc100580740"/>
      <w:r>
        <w:rPr>
          <w:rFonts w:ascii="仿宋" w:hAnsi="仿宋"/>
          <w:color w:val="000000" w:themeColor="text1"/>
          <w14:textFill>
            <w14:solidFill>
              <w14:schemeClr w14:val="tx1"/>
            </w14:solidFill>
          </w14:textFill>
        </w:rPr>
        <w:t>4.12</w:t>
      </w:r>
      <w:r>
        <w:rPr>
          <w:rFonts w:hint="eastAsia" w:ascii="仿宋" w:hAnsi="仿宋"/>
          <w:color w:val="000000" w:themeColor="text1"/>
          <w14:textFill>
            <w14:solidFill>
              <w14:schemeClr w14:val="tx1"/>
            </w14:solidFill>
          </w14:textFill>
        </w:rPr>
        <w:t>误识率要求</w:t>
      </w:r>
      <w:bookmarkEnd w:id="21"/>
    </w:p>
    <w:p w14:paraId="2FAA97F6">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采用生物钥匙控制开锁的电子锁，其误识率应不大于1%。</w:t>
      </w:r>
    </w:p>
    <w:p w14:paraId="7C5006CA">
      <w:pPr>
        <w:pStyle w:val="14"/>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 xml:space="preserve">.13 </w:t>
      </w:r>
      <w:r>
        <w:rPr>
          <w:rFonts w:hint="eastAsia"/>
          <w:color w:val="000000" w:themeColor="text1"/>
          <w:highlight w:val="none"/>
          <w14:textFill>
            <w14:solidFill>
              <w14:schemeClr w14:val="tx1"/>
            </w14:solidFill>
          </w14:textFill>
        </w:rPr>
        <w:t>拒识率要求</w:t>
      </w:r>
    </w:p>
    <w:p w14:paraId="28534FCA">
      <w:pPr>
        <w:ind w:firstLine="420"/>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采用生物钥匙控制开锁的电子锁，指纹识别拒识率应不大于1</w:t>
      </w:r>
      <w:r>
        <w:rPr>
          <w:rFonts w:ascii="仿宋" w:hAnsi="仿宋" w:eastAsia="仿宋"/>
          <w:color w:val="000000" w:themeColor="text1"/>
          <w:highlight w:val="none"/>
          <w14:textFill>
            <w14:solidFill>
              <w14:schemeClr w14:val="tx1"/>
            </w14:solidFill>
          </w14:textFill>
        </w:rPr>
        <w:t>.5%</w:t>
      </w:r>
      <w:r>
        <w:rPr>
          <w:rFonts w:hint="eastAsia" w:ascii="仿宋" w:hAnsi="仿宋" w:eastAsia="仿宋"/>
          <w:color w:val="000000" w:themeColor="text1"/>
          <w:highlight w:val="none"/>
          <w14:textFill>
            <w14:solidFill>
              <w14:schemeClr w14:val="tx1"/>
            </w14:solidFill>
          </w14:textFill>
        </w:rPr>
        <w:t>，人脸识别拒识率应不大于3%</w:t>
      </w:r>
      <w:r>
        <w:rPr>
          <w:rFonts w:hint="eastAsia" w:ascii="仿宋" w:hAnsi="仿宋" w:eastAsia="仿宋"/>
          <w:color w:val="000000" w:themeColor="text1"/>
          <w:highlight w:val="none"/>
          <w:lang w:eastAsia="zh-CN"/>
          <w14:textFill>
            <w14:solidFill>
              <w14:schemeClr w14:val="tx1"/>
            </w14:solidFill>
          </w14:textFill>
        </w:rPr>
        <w:t>，</w:t>
      </w:r>
      <w:r>
        <w:rPr>
          <w:rFonts w:hint="eastAsia" w:ascii="仿宋" w:hAnsi="仿宋" w:eastAsia="仿宋"/>
          <w:color w:val="000000" w:themeColor="text1"/>
          <w:highlight w:val="none"/>
          <w:lang w:val="en-US" w:eastAsia="zh-CN"/>
          <w14:textFill>
            <w14:solidFill>
              <w14:schemeClr w14:val="tx1"/>
            </w14:solidFill>
          </w14:textFill>
        </w:rPr>
        <w:t>指纹静脉</w:t>
      </w:r>
      <w:r>
        <w:rPr>
          <w:rFonts w:hint="eastAsia" w:ascii="仿宋" w:hAnsi="仿宋" w:eastAsia="仿宋"/>
          <w:color w:val="000000" w:themeColor="text1"/>
          <w:highlight w:val="none"/>
          <w14:textFill>
            <w14:solidFill>
              <w14:schemeClr w14:val="tx1"/>
            </w14:solidFill>
          </w14:textFill>
        </w:rPr>
        <w:t>识别拒识率应不大于3%。</w:t>
      </w:r>
    </w:p>
    <w:p w14:paraId="095AE6D1">
      <w:pPr>
        <w:pStyle w:val="14"/>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指纹功能要求</w:t>
      </w:r>
    </w:p>
    <w:p w14:paraId="23FE55A6">
      <w:p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 xml:space="preserve"> </w:t>
      </w:r>
      <w:r>
        <w:rPr>
          <w:rFonts w:ascii="仿宋" w:hAnsi="仿宋" w:eastAsia="仿宋"/>
          <w:color w:val="000000" w:themeColor="text1"/>
          <w:highlight w:val="none"/>
          <w14:textFill>
            <w14:solidFill>
              <w14:schemeClr w14:val="tx1"/>
            </w14:solidFill>
          </w14:textFill>
        </w:rPr>
        <w:t xml:space="preserve">   </w:t>
      </w:r>
      <w:r>
        <w:rPr>
          <w:rFonts w:hint="eastAsia" w:ascii="仿宋" w:hAnsi="仿宋" w:eastAsia="仿宋"/>
          <w:color w:val="000000" w:themeColor="text1"/>
          <w:highlight w:val="none"/>
          <w14:textFill>
            <w14:solidFill>
              <w14:schemeClr w14:val="tx1"/>
            </w14:solidFill>
          </w14:textFill>
        </w:rPr>
        <w:t>指纹识别应为具有活体只别的半导体</w:t>
      </w:r>
      <w:r>
        <w:rPr>
          <w:rFonts w:hint="eastAsia" w:ascii="仿宋" w:hAnsi="仿宋" w:eastAsia="仿宋"/>
          <w:color w:val="000000" w:themeColor="text1"/>
          <w:highlight w:val="none"/>
          <w:lang w:val="en-US" w:eastAsia="zh-CN"/>
          <w14:textFill>
            <w14:solidFill>
              <w14:schemeClr w14:val="tx1"/>
            </w14:solidFill>
          </w14:textFill>
        </w:rPr>
        <w:t>或静脉</w:t>
      </w:r>
      <w:r>
        <w:rPr>
          <w:rFonts w:hint="eastAsia" w:ascii="仿宋" w:hAnsi="仿宋" w:eastAsia="仿宋"/>
          <w:color w:val="000000" w:themeColor="text1"/>
          <w:highlight w:val="none"/>
          <w14:textFill>
            <w14:solidFill>
              <w14:schemeClr w14:val="tx1"/>
            </w14:solidFill>
          </w14:textFill>
        </w:rPr>
        <w:t>传感器识别方式。</w:t>
      </w:r>
    </w:p>
    <w:p w14:paraId="4B45C336">
      <w:pPr>
        <w:spacing w:line="288" w:lineRule="auto"/>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4</w:t>
      </w:r>
      <w:r>
        <w:rPr>
          <w:rFonts w:ascii="仿宋" w:hAnsi="仿宋" w:eastAsia="仿宋"/>
          <w:color w:val="000000" w:themeColor="text1"/>
          <w:szCs w:val="21"/>
          <w14:textFill>
            <w14:solidFill>
              <w14:schemeClr w14:val="tx1"/>
            </w14:solidFill>
          </w14:textFill>
        </w:rPr>
        <w:t xml:space="preserve">.14.1 </w:t>
      </w:r>
      <w:r>
        <w:rPr>
          <w:rFonts w:hint="eastAsia" w:ascii="仿宋" w:hAnsi="仿宋" w:eastAsia="仿宋"/>
          <w:color w:val="000000" w:themeColor="text1"/>
          <w:szCs w:val="21"/>
          <w14:textFill>
            <w14:solidFill>
              <w14:schemeClr w14:val="tx1"/>
            </w14:solidFill>
          </w14:textFill>
        </w:rPr>
        <w:t>指纹识别存储容量</w:t>
      </w:r>
    </w:p>
    <w:p w14:paraId="68960C8C">
      <w:pPr>
        <w:spacing w:line="288" w:lineRule="auto"/>
        <w:ind w:firstLine="42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指纹存储数量应≥5</w:t>
      </w:r>
      <w:r>
        <w:rPr>
          <w:rFonts w:ascii="仿宋" w:hAnsi="仿宋" w:eastAsia="仿宋"/>
          <w:color w:val="000000" w:themeColor="text1"/>
          <w:szCs w:val="21"/>
          <w14:textFill>
            <w14:solidFill>
              <w14:schemeClr w14:val="tx1"/>
            </w14:solidFill>
          </w14:textFill>
        </w:rPr>
        <w:t>0</w:t>
      </w:r>
      <w:r>
        <w:rPr>
          <w:rFonts w:hint="eastAsia" w:ascii="仿宋" w:hAnsi="仿宋" w:eastAsia="仿宋"/>
          <w:color w:val="000000" w:themeColor="text1"/>
          <w:szCs w:val="21"/>
          <w14:textFill>
            <w14:solidFill>
              <w14:schemeClr w14:val="tx1"/>
            </w14:solidFill>
          </w14:textFill>
        </w:rPr>
        <w:t>枚，可与其它识别类型共享总数量，识别总数量不得低于各识别类型相加后的数量。</w:t>
      </w:r>
    </w:p>
    <w:p w14:paraId="5227E872">
      <w:pPr>
        <w:spacing w:line="288" w:lineRule="auto"/>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.14.2</w:t>
      </w:r>
      <w:r>
        <w:rPr>
          <w:rFonts w:hint="eastAsia" w:ascii="仿宋" w:hAnsi="仿宋" w:eastAsia="仿宋"/>
          <w:color w:val="000000" w:themeColor="text1"/>
          <w:szCs w:val="21"/>
          <w14:textFill>
            <w14:solidFill>
              <w14:schemeClr w14:val="tx1"/>
            </w14:solidFill>
          </w14:textFill>
        </w:rPr>
        <w:t>指纹识别时间</w:t>
      </w:r>
    </w:p>
    <w:p w14:paraId="6564A751">
      <w:pPr>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自按压开始起到电机响应在时间应≤0</w:t>
      </w:r>
      <w:r>
        <w:rPr>
          <w:rFonts w:ascii="仿宋" w:hAnsi="仿宋" w:eastAsia="仿宋"/>
          <w:color w:val="000000" w:themeColor="text1"/>
          <w:szCs w:val="21"/>
          <w14:textFill>
            <w14:solidFill>
              <w14:schemeClr w14:val="tx1"/>
            </w14:solidFill>
          </w14:textFill>
        </w:rPr>
        <w:t>.5S</w:t>
      </w:r>
      <w:r>
        <w:rPr>
          <w:rFonts w:hint="eastAsia" w:ascii="仿宋" w:hAnsi="仿宋" w:eastAsia="仿宋"/>
          <w:color w:val="000000" w:themeColor="text1"/>
          <w:szCs w:val="21"/>
          <w14:textFill>
            <w14:solidFill>
              <w14:schemeClr w14:val="tx1"/>
            </w14:solidFill>
          </w14:textFill>
        </w:rPr>
        <w:t>。</w:t>
      </w:r>
    </w:p>
    <w:p w14:paraId="207383CB">
      <w:pPr>
        <w:pStyle w:val="14"/>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 xml:space="preserve">.15 </w:t>
      </w:r>
      <w:r>
        <w:rPr>
          <w:rFonts w:hint="eastAsia"/>
          <w:color w:val="000000" w:themeColor="text1"/>
          <w14:textFill>
            <w14:solidFill>
              <w14:schemeClr w14:val="tx1"/>
            </w14:solidFill>
          </w14:textFill>
        </w:rPr>
        <w:t>人脸识别功能要求</w:t>
      </w:r>
    </w:p>
    <w:p w14:paraId="0954285E">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 xml:space="preserve"> </w:t>
      </w:r>
      <w:r>
        <w:rPr>
          <w:rFonts w:ascii="仿宋" w:hAnsi="仿宋" w:eastAsia="仿宋"/>
          <w:color w:val="000000" w:themeColor="text1"/>
          <w:szCs w:val="21"/>
          <w14:textFill>
            <w14:solidFill>
              <w14:schemeClr w14:val="tx1"/>
            </w14:solidFill>
          </w14:textFill>
        </w:rPr>
        <w:t xml:space="preserve">  </w:t>
      </w:r>
      <w:r>
        <w:rPr>
          <w:rFonts w:hint="eastAsia" w:ascii="仿宋" w:hAnsi="仿宋" w:eastAsia="仿宋"/>
          <w:color w:val="000000" w:themeColor="text1"/>
          <w:szCs w:val="21"/>
          <w14:textFill>
            <w14:solidFill>
              <w14:schemeClr w14:val="tx1"/>
            </w14:solidFill>
          </w14:textFill>
        </w:rPr>
        <w:t>人脸识别功能应是具备活体、3</w:t>
      </w:r>
      <w:r>
        <w:rPr>
          <w:rFonts w:ascii="仿宋" w:hAnsi="仿宋" w:eastAsia="仿宋"/>
          <w:color w:val="000000" w:themeColor="text1"/>
          <w:szCs w:val="21"/>
          <w14:textFill>
            <w14:solidFill>
              <w14:schemeClr w14:val="tx1"/>
            </w14:solidFill>
          </w14:textFill>
        </w:rPr>
        <w:t>D</w:t>
      </w:r>
      <w:r>
        <w:rPr>
          <w:rFonts w:hint="eastAsia" w:ascii="仿宋" w:hAnsi="仿宋" w:eastAsia="仿宋"/>
          <w:color w:val="000000" w:themeColor="text1"/>
          <w:szCs w:val="21"/>
          <w14:textFill>
            <w14:solidFill>
              <w14:schemeClr w14:val="tx1"/>
            </w14:solidFill>
          </w14:textFill>
        </w:rPr>
        <w:t>特征识别等具备安全性功能的人脸图像识别。</w:t>
      </w:r>
    </w:p>
    <w:p w14:paraId="5E72B1FE">
      <w:pPr>
        <w:spacing w:line="288" w:lineRule="auto"/>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4.15.1</w:t>
      </w:r>
      <w:r>
        <w:rPr>
          <w:rFonts w:hint="eastAsia" w:ascii="仿宋" w:hAnsi="仿宋" w:eastAsia="仿宋"/>
          <w:color w:val="000000" w:themeColor="text1"/>
          <w:szCs w:val="21"/>
          <w14:textFill>
            <w14:solidFill>
              <w14:schemeClr w14:val="tx1"/>
            </w14:solidFill>
          </w14:textFill>
        </w:rPr>
        <w:t>人脸存储数量</w:t>
      </w:r>
    </w:p>
    <w:p w14:paraId="2A3092A0">
      <w:pPr>
        <w:spacing w:line="288" w:lineRule="auto"/>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人脸存储数量应≥</w:t>
      </w:r>
      <w:r>
        <w:rPr>
          <w:rFonts w:ascii="仿宋" w:hAnsi="仿宋" w:eastAsia="仿宋"/>
          <w:color w:val="000000" w:themeColor="text1"/>
          <w:szCs w:val="21"/>
          <w14:textFill>
            <w14:solidFill>
              <w14:schemeClr w14:val="tx1"/>
            </w14:solidFill>
          </w14:textFill>
        </w:rPr>
        <w:t>20</w:t>
      </w:r>
      <w:r>
        <w:rPr>
          <w:rFonts w:hint="eastAsia" w:ascii="仿宋" w:hAnsi="仿宋" w:eastAsia="仿宋"/>
          <w:color w:val="000000" w:themeColor="text1"/>
          <w:szCs w:val="21"/>
          <w14:textFill>
            <w14:solidFill>
              <w14:schemeClr w14:val="tx1"/>
            </w14:solidFill>
          </w14:textFill>
        </w:rPr>
        <w:t>枚，可与其它识别类型共享总数量，但识别总数量不得低于各识别类型相加后的数量。</w:t>
      </w:r>
    </w:p>
    <w:p w14:paraId="158F6DF9">
      <w:pPr>
        <w:spacing w:line="288" w:lineRule="auto"/>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 xml:space="preserve">4.15.2 </w:t>
      </w:r>
      <w:r>
        <w:rPr>
          <w:rFonts w:hint="eastAsia" w:ascii="仿宋" w:hAnsi="仿宋" w:eastAsia="仿宋"/>
          <w:color w:val="000000" w:themeColor="text1"/>
          <w:szCs w:val="21"/>
          <w14:textFill>
            <w14:solidFill>
              <w14:schemeClr w14:val="tx1"/>
            </w14:solidFill>
          </w14:textFill>
        </w:rPr>
        <w:t>人脸识别时间</w:t>
      </w:r>
    </w:p>
    <w:p w14:paraId="34649B7A">
      <w:pPr>
        <w:spacing w:line="288" w:lineRule="auto"/>
        <w:ind w:firstLine="42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自感应设备开始启动到识别完成时间止（电机启动时）计算。识别时间≤</w:t>
      </w:r>
      <w:r>
        <w:rPr>
          <w:rFonts w:ascii="仿宋" w:hAnsi="仿宋" w:eastAsia="仿宋"/>
          <w:color w:val="000000" w:themeColor="text1"/>
          <w:szCs w:val="21"/>
          <w14:textFill>
            <w14:solidFill>
              <w14:schemeClr w14:val="tx1"/>
            </w14:solidFill>
          </w14:textFill>
        </w:rPr>
        <w:t>3S</w:t>
      </w:r>
      <w:r>
        <w:rPr>
          <w:rFonts w:hint="eastAsia" w:ascii="仿宋" w:hAnsi="仿宋" w:eastAsia="仿宋"/>
          <w:color w:val="000000" w:themeColor="text1"/>
          <w:szCs w:val="21"/>
          <w14:textFill>
            <w14:solidFill>
              <w14:schemeClr w14:val="tx1"/>
            </w14:solidFill>
          </w14:textFill>
        </w:rPr>
        <w:t>。</w:t>
      </w:r>
    </w:p>
    <w:p w14:paraId="5D60466C">
      <w:pPr>
        <w:spacing w:line="288" w:lineRule="auto"/>
        <w:rPr>
          <w:rFonts w:ascii="仿宋" w:hAnsi="仿宋" w:eastAsia="仿宋"/>
          <w:color w:val="000000" w:themeColor="text1"/>
          <w:szCs w:val="21"/>
          <w14:textFill>
            <w14:solidFill>
              <w14:schemeClr w14:val="tx1"/>
            </w14:solidFill>
          </w14:textFill>
        </w:rPr>
      </w:pPr>
      <w:r>
        <w:rPr>
          <w:rFonts w:ascii="仿宋" w:hAnsi="仿宋" w:eastAsia="仿宋"/>
          <w:color w:val="000000" w:themeColor="text1"/>
          <w:szCs w:val="21"/>
          <w14:textFill>
            <w14:solidFill>
              <w14:schemeClr w14:val="tx1"/>
            </w14:solidFill>
          </w14:textFill>
        </w:rPr>
        <w:t xml:space="preserve">4.15.3 </w:t>
      </w:r>
      <w:r>
        <w:rPr>
          <w:rFonts w:hint="eastAsia" w:ascii="仿宋" w:hAnsi="仿宋" w:eastAsia="仿宋"/>
          <w:color w:val="000000" w:themeColor="text1"/>
          <w:szCs w:val="21"/>
          <w14:textFill>
            <w14:solidFill>
              <w14:schemeClr w14:val="tx1"/>
            </w14:solidFill>
          </w14:textFill>
        </w:rPr>
        <w:t>人脸识别适应性</w:t>
      </w:r>
    </w:p>
    <w:p w14:paraId="7DE8A4B2">
      <w:pPr>
        <w:ind w:firstLine="42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人脸识别功能应具备在强光、弱光自适应性，在强光、弱光环境下应功能正常，不出现误识别、拒识、无法识别等现象。</w:t>
      </w:r>
    </w:p>
    <w:p w14:paraId="05EF4444">
      <w:pPr>
        <w:pStyle w:val="14"/>
        <w:rPr>
          <w:color w:val="000000" w:themeColor="text1"/>
          <w14:textFill>
            <w14:solidFill>
              <w14:schemeClr w14:val="tx1"/>
            </w14:solidFill>
          </w14:textFill>
        </w:rPr>
      </w:pPr>
      <w:r>
        <w:rPr>
          <w:color w:val="000000" w:themeColor="text1"/>
          <w14:textFill>
            <w14:solidFill>
              <w14:schemeClr w14:val="tx1"/>
            </w14:solidFill>
          </w14:textFill>
        </w:rPr>
        <w:t xml:space="preserve">4.16 </w:t>
      </w:r>
      <w:r>
        <w:rPr>
          <w:rFonts w:hint="eastAsia"/>
          <w:color w:val="000000" w:themeColor="text1"/>
          <w14:textFill>
            <w14:solidFill>
              <w14:schemeClr w14:val="tx1"/>
            </w14:solidFill>
          </w14:textFill>
        </w:rPr>
        <w:t>锁用电子猫眼功能要求</w:t>
      </w:r>
    </w:p>
    <w:p w14:paraId="4229C9C6">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4.16.1 </w:t>
      </w:r>
      <w:r>
        <w:rPr>
          <w:rFonts w:hint="eastAsia" w:ascii="仿宋" w:hAnsi="仿宋" w:eastAsia="仿宋"/>
          <w:color w:val="000000" w:themeColor="text1"/>
          <w14:textFill>
            <w14:solidFill>
              <w14:schemeClr w14:val="tx1"/>
            </w14:solidFill>
          </w14:textFill>
        </w:rPr>
        <w:t>锁用电子猫眼应具备主动式</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被动式图像、视频抓拍功能中一种或全部功能，并应能在锁本体或其它终端直接显示或传输显示的一种或全部功能。</w:t>
      </w:r>
    </w:p>
    <w:p w14:paraId="00012956">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4.16.2 </w:t>
      </w:r>
      <w:r>
        <w:rPr>
          <w:rFonts w:hint="eastAsia" w:ascii="仿宋" w:hAnsi="仿宋" w:eastAsia="仿宋"/>
          <w:color w:val="000000" w:themeColor="text1"/>
          <w14:textFill>
            <w14:solidFill>
              <w14:schemeClr w14:val="tx1"/>
            </w14:solidFill>
          </w14:textFill>
        </w:rPr>
        <w:t>摄像头在0</w:t>
      </w:r>
      <w:r>
        <w:rPr>
          <w:rFonts w:ascii="仿宋" w:hAnsi="仿宋" w:eastAsia="仿宋"/>
          <w:color w:val="000000" w:themeColor="text1"/>
          <w14:textFill>
            <w14:solidFill>
              <w14:schemeClr w14:val="tx1"/>
            </w14:solidFill>
          </w14:textFill>
        </w:rPr>
        <w:t>.7m</w:t>
      </w:r>
      <w:r>
        <w:rPr>
          <w:rFonts w:hint="eastAsia" w:ascii="仿宋" w:hAnsi="仿宋" w:eastAsia="仿宋"/>
          <w:color w:val="000000" w:themeColor="text1"/>
          <w14:textFill>
            <w14:solidFill>
              <w14:schemeClr w14:val="tx1"/>
            </w14:solidFill>
          </w14:textFill>
        </w:rPr>
        <w:t>距离拍摄宽角度、高角度应不低于1</w:t>
      </w:r>
      <w:r>
        <w:rPr>
          <w:rFonts w:ascii="仿宋" w:hAnsi="仿宋" w:eastAsia="仿宋"/>
          <w:color w:val="000000" w:themeColor="text1"/>
          <w14:textFill>
            <w14:solidFill>
              <w14:schemeClr w14:val="tx1"/>
            </w14:solidFill>
          </w14:textFill>
        </w:rPr>
        <w:t>10</w:t>
      </w:r>
      <w:r>
        <w:rPr>
          <w:rFonts w:ascii="仿宋" w:hAnsi="仿宋" w:eastAsia="仿宋"/>
          <w:color w:val="000000" w:themeColor="text1"/>
          <w:vertAlign w:val="superscript"/>
          <w14:textFill>
            <w14:solidFill>
              <w14:schemeClr w14:val="tx1"/>
            </w14:solidFill>
          </w14:textFill>
        </w:rPr>
        <w:t>0</w:t>
      </w:r>
      <w:r>
        <w:rPr>
          <w:rFonts w:hint="eastAsia" w:ascii="仿宋" w:hAnsi="仿宋" w:eastAsia="仿宋"/>
          <w:color w:val="000000" w:themeColor="text1"/>
          <w14:textFill>
            <w14:solidFill>
              <w14:schemeClr w14:val="tx1"/>
            </w14:solidFill>
          </w14:textFill>
        </w:rPr>
        <w:t>。</w:t>
      </w:r>
    </w:p>
    <w:p w14:paraId="5185B645">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4.16.3 </w:t>
      </w:r>
      <w:r>
        <w:rPr>
          <w:rFonts w:hint="eastAsia" w:ascii="仿宋" w:hAnsi="仿宋" w:eastAsia="仿宋"/>
          <w:color w:val="000000" w:themeColor="text1"/>
          <w14:textFill>
            <w14:solidFill>
              <w14:schemeClr w14:val="tx1"/>
            </w14:solidFill>
          </w14:textFill>
        </w:rPr>
        <w:t>摄像头拍摄像素应不低于1</w:t>
      </w:r>
      <w:r>
        <w:rPr>
          <w:rFonts w:ascii="仿宋" w:hAnsi="仿宋" w:eastAsia="仿宋"/>
          <w:color w:val="000000" w:themeColor="text1"/>
          <w14:textFill>
            <w14:solidFill>
              <w14:schemeClr w14:val="tx1"/>
            </w14:solidFill>
          </w14:textFill>
        </w:rPr>
        <w:t>00</w:t>
      </w:r>
      <w:r>
        <w:rPr>
          <w:rFonts w:hint="eastAsia" w:ascii="仿宋" w:hAnsi="仿宋" w:eastAsia="仿宋"/>
          <w:color w:val="000000" w:themeColor="text1"/>
          <w14:textFill>
            <w14:solidFill>
              <w14:schemeClr w14:val="tx1"/>
            </w14:solidFill>
          </w14:textFill>
        </w:rPr>
        <w:t>万像素。</w:t>
      </w:r>
    </w:p>
    <w:p w14:paraId="293E7663">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4.16.4 </w:t>
      </w:r>
      <w:r>
        <w:rPr>
          <w:rFonts w:hint="eastAsia" w:ascii="仿宋" w:hAnsi="仿宋" w:eastAsia="仿宋"/>
          <w:color w:val="000000" w:themeColor="text1"/>
          <w14:textFill>
            <w14:solidFill>
              <w14:schemeClr w14:val="tx1"/>
            </w14:solidFill>
          </w14:textFill>
        </w:rPr>
        <w:t>摄像头如有可视对讲功能，可为主动式或被动式对讲功能的一种。</w:t>
      </w:r>
    </w:p>
    <w:p w14:paraId="514D1248">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4.16.5 </w:t>
      </w:r>
      <w:r>
        <w:rPr>
          <w:rFonts w:hint="eastAsia" w:ascii="仿宋" w:hAnsi="仿宋" w:eastAsia="仿宋"/>
          <w:color w:val="000000" w:themeColor="text1"/>
          <w14:textFill>
            <w14:solidFill>
              <w14:schemeClr w14:val="tx1"/>
            </w14:solidFill>
          </w14:textFill>
        </w:rPr>
        <w:t>如有后屏，应为I</w:t>
      </w:r>
      <w:r>
        <w:rPr>
          <w:rFonts w:ascii="仿宋" w:hAnsi="仿宋" w:eastAsia="仿宋"/>
          <w:color w:val="000000" w:themeColor="text1"/>
          <w14:textFill>
            <w14:solidFill>
              <w14:schemeClr w14:val="tx1"/>
            </w14:solidFill>
          </w14:textFill>
        </w:rPr>
        <w:t>PS</w:t>
      </w:r>
      <w:r>
        <w:rPr>
          <w:rFonts w:hint="eastAsia" w:ascii="仿宋" w:hAnsi="仿宋" w:eastAsia="仿宋"/>
          <w:color w:val="000000" w:themeColor="text1"/>
          <w14:textFill>
            <w14:solidFill>
              <w14:schemeClr w14:val="tx1"/>
            </w14:solidFill>
          </w14:textFill>
        </w:rPr>
        <w:t>硬屏，尺寸应不小于3</w:t>
      </w:r>
      <w:r>
        <w:rPr>
          <w:rFonts w:ascii="仿宋" w:hAnsi="仿宋" w:eastAsia="仿宋"/>
          <w:color w:val="000000" w:themeColor="text1"/>
          <w14:textFill>
            <w14:solidFill>
              <w14:schemeClr w14:val="tx1"/>
            </w14:solidFill>
          </w14:textFill>
        </w:rPr>
        <w:t>.97</w:t>
      </w:r>
      <w:r>
        <w:rPr>
          <w:rFonts w:hint="eastAsia" w:ascii="仿宋" w:hAnsi="仿宋" w:eastAsia="仿宋"/>
          <w:color w:val="000000" w:themeColor="text1"/>
          <w14:textFill>
            <w14:solidFill>
              <w14:schemeClr w14:val="tx1"/>
            </w14:solidFill>
          </w14:textFill>
        </w:rPr>
        <w:t>英寸，分辨率不低于8</w:t>
      </w:r>
      <w:r>
        <w:rPr>
          <w:rFonts w:ascii="仿宋" w:hAnsi="仿宋" w:eastAsia="仿宋"/>
          <w:color w:val="000000" w:themeColor="text1"/>
          <w14:textFill>
            <w14:solidFill>
              <w14:schemeClr w14:val="tx1"/>
            </w14:solidFill>
          </w14:textFill>
        </w:rPr>
        <w:t>00*480</w:t>
      </w:r>
      <w:r>
        <w:rPr>
          <w:rFonts w:hint="eastAsia" w:ascii="仿宋" w:hAnsi="仿宋" w:eastAsia="仿宋"/>
          <w:color w:val="000000" w:themeColor="text1"/>
          <w14:textFill>
            <w14:solidFill>
              <w14:schemeClr w14:val="tx1"/>
            </w14:solidFill>
          </w14:textFill>
        </w:rPr>
        <w:t>。</w:t>
      </w:r>
    </w:p>
    <w:p w14:paraId="074F77C1">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4.16.6 </w:t>
      </w:r>
      <w:r>
        <w:rPr>
          <w:rFonts w:hint="eastAsia" w:ascii="仿宋" w:hAnsi="仿宋" w:eastAsia="仿宋"/>
          <w:color w:val="000000" w:themeColor="text1"/>
          <w14:textFill>
            <w14:solidFill>
              <w14:schemeClr w14:val="tx1"/>
            </w14:solidFill>
          </w14:textFill>
        </w:rPr>
        <w:t>如有感应抓拍功能，感应抓拍应为图片或视频格式，并能上传至网络终端。</w:t>
      </w:r>
    </w:p>
    <w:p w14:paraId="790FDFF4">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4.16.7 </w:t>
      </w:r>
      <w:r>
        <w:rPr>
          <w:rFonts w:hint="eastAsia" w:ascii="仿宋" w:hAnsi="仿宋" w:eastAsia="仿宋"/>
          <w:color w:val="000000" w:themeColor="text1"/>
          <w14:textFill>
            <w14:solidFill>
              <w14:schemeClr w14:val="tx1"/>
            </w14:solidFill>
          </w14:textFill>
        </w:rPr>
        <w:t>电子猫眼应能适应强光、弱光条件下使用，并能够清晰显示。</w:t>
      </w:r>
    </w:p>
    <w:p w14:paraId="5B3D1DB1">
      <w:pPr>
        <w:pStyle w:val="14"/>
        <w:rPr>
          <w:color w:val="000000" w:themeColor="text1"/>
          <w14:textFill>
            <w14:solidFill>
              <w14:schemeClr w14:val="tx1"/>
            </w14:solidFill>
          </w14:textFill>
        </w:rPr>
      </w:pPr>
      <w:r>
        <w:rPr>
          <w:color w:val="000000" w:themeColor="text1"/>
          <w14:textFill>
            <w14:solidFill>
              <w14:schemeClr w14:val="tx1"/>
            </w14:solidFill>
          </w14:textFill>
        </w:rPr>
        <w:t xml:space="preserve">4.17 </w:t>
      </w:r>
      <w:r>
        <w:rPr>
          <w:rFonts w:hint="eastAsia"/>
          <w:color w:val="000000" w:themeColor="text1"/>
          <w14:textFill>
            <w14:solidFill>
              <w14:schemeClr w14:val="tx1"/>
            </w14:solidFill>
          </w14:textFill>
        </w:rPr>
        <w:t>智能家居功能要求</w:t>
      </w:r>
    </w:p>
    <w:p w14:paraId="68B9FB76">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4.17.1 </w:t>
      </w:r>
      <w:r>
        <w:rPr>
          <w:rFonts w:hint="eastAsia" w:ascii="仿宋" w:hAnsi="仿宋" w:eastAsia="仿宋"/>
          <w:color w:val="000000" w:themeColor="text1"/>
          <w14:textFill>
            <w14:solidFill>
              <w14:schemeClr w14:val="tx1"/>
            </w14:solidFill>
          </w14:textFill>
        </w:rPr>
        <w:t>电子锁应为联网型智能门锁，应能通过自身的网络功能、网络设备或物联网家庭智能终端联网，提供设备的描述、通信或定位等中一种、多种或全部功能。</w:t>
      </w:r>
    </w:p>
    <w:p w14:paraId="6676B2FE">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4.17.2</w:t>
      </w:r>
      <w:r>
        <w:rPr>
          <w:rFonts w:hint="eastAsia" w:ascii="仿宋" w:hAnsi="仿宋" w:eastAsia="仿宋"/>
          <w:color w:val="000000" w:themeColor="text1"/>
          <w14:textFill>
            <w14:solidFill>
              <w14:schemeClr w14:val="tx1"/>
            </w14:solidFill>
          </w14:textFill>
        </w:rPr>
        <w:t>网络协议制式应能够与智能家居系统匹配（包括但不限于Z</w:t>
      </w:r>
      <w:r>
        <w:rPr>
          <w:rFonts w:ascii="仿宋" w:hAnsi="仿宋" w:eastAsia="仿宋"/>
          <w:color w:val="000000" w:themeColor="text1"/>
          <w14:textFill>
            <w14:solidFill>
              <w14:schemeClr w14:val="tx1"/>
            </w14:solidFill>
          </w14:textFill>
        </w:rPr>
        <w:t>igBee</w:t>
      </w:r>
      <w:r>
        <w:rPr>
          <w:rFonts w:hint="eastAsia" w:ascii="仿宋" w:hAnsi="仿宋" w:eastAsia="仿宋"/>
          <w:color w:val="000000" w:themeColor="text1"/>
          <w14:textFill>
            <w14:solidFill>
              <w14:schemeClr w14:val="tx1"/>
            </w14:solidFill>
          </w14:textFill>
        </w:rPr>
        <w:t>、</w:t>
      </w:r>
      <w:r>
        <w:rPr>
          <w:rFonts w:ascii="仿宋" w:hAnsi="仿宋" w:eastAsia="仿宋"/>
          <w:color w:val="000000" w:themeColor="text1"/>
          <w14:textFill>
            <w14:solidFill>
              <w14:schemeClr w14:val="tx1"/>
            </w14:solidFill>
          </w14:textFill>
        </w:rPr>
        <w:t>WIFI</w:t>
      </w:r>
      <w:r>
        <w:rPr>
          <w:rFonts w:hint="eastAsia" w:ascii="仿宋" w:hAnsi="仿宋" w:eastAsia="仿宋"/>
          <w:color w:val="000000" w:themeColor="text1"/>
          <w14:textFill>
            <w14:solidFill>
              <w14:schemeClr w14:val="tx1"/>
            </w14:solidFill>
          </w14:textFill>
        </w:rPr>
        <w:t>等）。</w:t>
      </w:r>
    </w:p>
    <w:p w14:paraId="5795FE3F">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4.17.2 </w:t>
      </w:r>
      <w:r>
        <w:rPr>
          <w:rFonts w:hint="eastAsia" w:ascii="仿宋" w:hAnsi="仿宋" w:eastAsia="仿宋"/>
          <w:color w:val="000000" w:themeColor="text1"/>
          <w14:textFill>
            <w14:solidFill>
              <w14:schemeClr w14:val="tx1"/>
            </w14:solidFill>
          </w14:textFill>
        </w:rPr>
        <w:t>应具备上报设备故障、报警、基本功能等信息的能力；</w:t>
      </w:r>
    </w:p>
    <w:p w14:paraId="42329FEA">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4.17.3 </w:t>
      </w:r>
      <w:r>
        <w:rPr>
          <w:rFonts w:hint="eastAsia" w:ascii="仿宋" w:hAnsi="仿宋" w:eastAsia="仿宋"/>
          <w:color w:val="000000" w:themeColor="text1"/>
          <w14:textFill>
            <w14:solidFill>
              <w14:schemeClr w14:val="tx1"/>
            </w14:solidFill>
          </w14:textFill>
        </w:rPr>
        <w:t>应具备防区自主设置功能，并具备本地、远程布、撤防功能。</w:t>
      </w:r>
    </w:p>
    <w:p w14:paraId="618964F6">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 xml:space="preserve">.17.4 </w:t>
      </w:r>
      <w:r>
        <w:rPr>
          <w:rFonts w:hint="eastAsia" w:ascii="仿宋" w:hAnsi="仿宋" w:eastAsia="仿宋"/>
          <w:color w:val="000000" w:themeColor="text1"/>
          <w14:textFill>
            <w14:solidFill>
              <w14:schemeClr w14:val="tx1"/>
            </w14:solidFill>
          </w14:textFill>
        </w:rPr>
        <w:t>应具有联动其它安全防范入侵设备功能。</w:t>
      </w:r>
    </w:p>
    <w:p w14:paraId="61AEF7BC">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 xml:space="preserve">.17.5 </w:t>
      </w:r>
      <w:r>
        <w:rPr>
          <w:rFonts w:hint="eastAsia" w:ascii="仿宋" w:hAnsi="仿宋" w:eastAsia="仿宋"/>
          <w:color w:val="000000" w:themeColor="text1"/>
          <w14:textFill>
            <w14:solidFill>
              <w14:schemeClr w14:val="tx1"/>
            </w14:solidFill>
          </w14:textFill>
        </w:rPr>
        <w:t>应具有场景模式下联动能力，但应为触发端，不能成为被触发端，例如：定时触发、状态触发等功能。</w:t>
      </w:r>
    </w:p>
    <w:p w14:paraId="7B7863CF">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 xml:space="preserve">.17.6 </w:t>
      </w:r>
      <w:r>
        <w:rPr>
          <w:rFonts w:hint="eastAsia" w:ascii="仿宋" w:hAnsi="仿宋" w:eastAsia="仿宋"/>
          <w:color w:val="000000" w:themeColor="text1"/>
          <w14:textFill>
            <w14:solidFill>
              <w14:schemeClr w14:val="tx1"/>
            </w14:solidFill>
          </w14:textFill>
        </w:rPr>
        <w:t>应具备与其它智能家居设备续联功能。</w:t>
      </w:r>
    </w:p>
    <w:p w14:paraId="13C206D5">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r>
        <w:rPr>
          <w:rFonts w:ascii="仿宋" w:hAnsi="仿宋" w:eastAsia="仿宋"/>
          <w:color w:val="000000" w:themeColor="text1"/>
          <w14:textFill>
            <w14:solidFill>
              <w14:schemeClr w14:val="tx1"/>
            </w14:solidFill>
          </w14:textFill>
        </w:rPr>
        <w:t xml:space="preserve">.17.7 </w:t>
      </w:r>
      <w:r>
        <w:rPr>
          <w:rFonts w:hint="eastAsia" w:ascii="仿宋" w:hAnsi="仿宋" w:eastAsia="仿宋"/>
          <w:color w:val="000000" w:themeColor="text1"/>
          <w14:textFill>
            <w14:solidFill>
              <w14:schemeClr w14:val="tx1"/>
            </w14:solidFill>
          </w14:textFill>
        </w:rPr>
        <w:t>授权开锁功能时应具备单独的授权机制或二次授权机制。（此项目暂定，比较影响体验）</w:t>
      </w:r>
    </w:p>
    <w:p w14:paraId="1B09BFB2">
      <w:pPr>
        <w:pStyle w:val="16"/>
        <w:rPr>
          <w:rFonts w:ascii="仿宋" w:hAnsi="仿宋"/>
          <w:color w:val="000000" w:themeColor="text1"/>
          <w14:textFill>
            <w14:solidFill>
              <w14:schemeClr w14:val="tx1"/>
            </w14:solidFill>
          </w14:textFill>
        </w:rPr>
      </w:pPr>
      <w:bookmarkStart w:id="22" w:name="_Toc100580741"/>
      <w:r>
        <w:rPr>
          <w:rFonts w:hint="eastAsia" w:ascii="仿宋" w:hAnsi="仿宋"/>
          <w:color w:val="000000" w:themeColor="text1"/>
          <w14:textFill>
            <w14:solidFill>
              <w14:schemeClr w14:val="tx1"/>
            </w14:solidFill>
          </w14:textFill>
        </w:rPr>
        <w:t>五、电子锁锁舌及其强度要求</w:t>
      </w:r>
      <w:bookmarkEnd w:id="22"/>
    </w:p>
    <w:p w14:paraId="5C7D7E8B">
      <w:pPr>
        <w:pStyle w:val="14"/>
        <w:rPr>
          <w:rFonts w:ascii="仿宋" w:hAnsi="仿宋"/>
          <w:color w:val="000000" w:themeColor="text1"/>
          <w14:textFill>
            <w14:solidFill>
              <w14:schemeClr w14:val="tx1"/>
            </w14:solidFill>
          </w14:textFill>
        </w:rPr>
      </w:pPr>
      <w:bookmarkStart w:id="23" w:name="_Toc100580742"/>
      <w:r>
        <w:rPr>
          <w:rFonts w:ascii="仿宋" w:hAnsi="仿宋"/>
          <w:color w:val="000000" w:themeColor="text1"/>
          <w14:textFill>
            <w14:solidFill>
              <w14:schemeClr w14:val="tx1"/>
            </w14:solidFill>
          </w14:textFill>
        </w:rPr>
        <w:t>5.1</w:t>
      </w:r>
      <w:r>
        <w:rPr>
          <w:rFonts w:hint="eastAsia" w:ascii="仿宋" w:hAnsi="仿宋"/>
          <w:color w:val="000000" w:themeColor="text1"/>
          <w14:textFill>
            <w14:solidFill>
              <w14:schemeClr w14:val="tx1"/>
            </w14:solidFill>
          </w14:textFill>
        </w:rPr>
        <w:t>主锁舌伸出长度要求</w:t>
      </w:r>
      <w:bookmarkEnd w:id="23"/>
    </w:p>
    <w:p w14:paraId="2D833D2F">
      <w:pPr>
        <w:ind w:firstLine="420" w:firstLineChars="200"/>
        <w:rPr>
          <w:rFonts w:ascii="仿宋" w:hAnsi="仿宋" w:eastAsia="仿宋"/>
          <w:color w:val="000000" w:themeColor="text1"/>
          <w:highlight w:val="green"/>
          <w14:textFill>
            <w14:solidFill>
              <w14:schemeClr w14:val="tx1"/>
            </w14:solidFill>
          </w14:textFill>
        </w:rPr>
      </w:pPr>
      <w:r>
        <w:rPr>
          <w:rFonts w:hint="eastAsia" w:ascii="仿宋" w:hAnsi="仿宋" w:eastAsia="仿宋"/>
          <w:color w:val="000000" w:themeColor="text1"/>
          <w:highlight w:val="green"/>
          <w14:textFill>
            <w14:solidFill>
              <w14:schemeClr w14:val="tx1"/>
            </w14:solidFill>
          </w14:textFill>
        </w:rPr>
        <w:t>当钩舌/爪舌为主锁舌时，锁舌伸出长度应不小于1</w:t>
      </w:r>
      <w:r>
        <w:rPr>
          <w:rFonts w:ascii="仿宋" w:hAnsi="仿宋" w:eastAsia="仿宋"/>
          <w:color w:val="000000" w:themeColor="text1"/>
          <w:highlight w:val="green"/>
          <w14:textFill>
            <w14:solidFill>
              <w14:schemeClr w14:val="tx1"/>
            </w14:solidFill>
          </w14:textFill>
        </w:rPr>
        <w:t>4mm</w:t>
      </w:r>
      <w:r>
        <w:rPr>
          <w:rFonts w:hint="eastAsia" w:ascii="仿宋" w:hAnsi="仿宋" w:eastAsia="仿宋"/>
          <w:color w:val="000000" w:themeColor="text1"/>
          <w:highlight w:val="green"/>
          <w14:textFill>
            <w14:solidFill>
              <w14:schemeClr w14:val="tx1"/>
            </w14:solidFill>
          </w14:textFill>
        </w:rPr>
        <w:t>，除钩舌/爪舌以外的锁舌作为主锁舌时，锁舌伸出长度应不小于2</w:t>
      </w:r>
      <w:r>
        <w:rPr>
          <w:rFonts w:ascii="仿宋" w:hAnsi="仿宋" w:eastAsia="仿宋"/>
          <w:color w:val="000000" w:themeColor="text1"/>
          <w:highlight w:val="green"/>
          <w14:textFill>
            <w14:solidFill>
              <w14:schemeClr w14:val="tx1"/>
            </w14:solidFill>
          </w14:textFill>
        </w:rPr>
        <w:t>0mm</w:t>
      </w:r>
      <w:r>
        <w:rPr>
          <w:rFonts w:hint="eastAsia" w:ascii="仿宋" w:hAnsi="仿宋" w:eastAsia="仿宋"/>
          <w:color w:val="000000" w:themeColor="text1"/>
          <w:highlight w:val="green"/>
          <w14:textFill>
            <w14:solidFill>
              <w14:schemeClr w14:val="tx1"/>
            </w14:solidFill>
          </w14:textFill>
        </w:rPr>
        <w:t>。</w:t>
      </w:r>
    </w:p>
    <w:p w14:paraId="75589FCD">
      <w:pPr>
        <w:pStyle w:val="14"/>
        <w:rPr>
          <w:rFonts w:ascii="仿宋" w:hAnsi="仿宋"/>
          <w:color w:val="000000" w:themeColor="text1"/>
          <w14:textFill>
            <w14:solidFill>
              <w14:schemeClr w14:val="tx1"/>
            </w14:solidFill>
          </w14:textFill>
        </w:rPr>
      </w:pPr>
      <w:bookmarkStart w:id="24" w:name="_Toc100580743"/>
      <w:r>
        <w:rPr>
          <w:rFonts w:ascii="仿宋" w:hAnsi="仿宋"/>
          <w:color w:val="000000" w:themeColor="text1"/>
          <w14:textFill>
            <w14:solidFill>
              <w14:schemeClr w14:val="tx1"/>
            </w14:solidFill>
          </w14:textFill>
        </w:rPr>
        <w:t>5.2</w:t>
      </w:r>
      <w:r>
        <w:rPr>
          <w:rFonts w:hint="eastAsia" w:ascii="仿宋" w:hAnsi="仿宋"/>
          <w:color w:val="000000" w:themeColor="text1"/>
          <w14:textFill>
            <w14:solidFill>
              <w14:schemeClr w14:val="tx1"/>
            </w14:solidFill>
          </w14:textFill>
        </w:rPr>
        <w:t>主锁舌灵活度要求</w:t>
      </w:r>
      <w:bookmarkEnd w:id="24"/>
    </w:p>
    <w:p w14:paraId="3D159C5C">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5</w:t>
      </w:r>
      <w:r>
        <w:rPr>
          <w:rFonts w:ascii="仿宋" w:hAnsi="仿宋" w:eastAsia="仿宋"/>
          <w:color w:val="000000" w:themeColor="text1"/>
          <w14:textFill>
            <w14:solidFill>
              <w14:schemeClr w14:val="tx1"/>
            </w14:solidFill>
          </w14:textFill>
        </w:rPr>
        <w:t xml:space="preserve">.2.1 </w:t>
      </w:r>
      <w:r>
        <w:rPr>
          <w:rFonts w:hint="eastAsia" w:ascii="仿宋" w:hAnsi="仿宋" w:eastAsia="仿宋"/>
          <w:color w:val="000000" w:themeColor="text1"/>
          <w14:textFill>
            <w14:solidFill>
              <w14:schemeClr w14:val="tx1"/>
            </w14:solidFill>
          </w14:textFill>
        </w:rPr>
        <w:t>用手动部件操作主锁舌的转动扭矩应不大于3</w:t>
      </w:r>
      <w:r>
        <w:rPr>
          <w:rFonts w:ascii="仿宋" w:hAnsi="仿宋" w:eastAsia="仿宋"/>
          <w:color w:val="000000" w:themeColor="text1"/>
          <w14:textFill>
            <w14:solidFill>
              <w14:schemeClr w14:val="tx1"/>
            </w14:solidFill>
          </w14:textFill>
        </w:rPr>
        <w:t>N.m</w:t>
      </w:r>
      <w:r>
        <w:rPr>
          <w:rFonts w:hint="eastAsia" w:ascii="仿宋" w:hAnsi="仿宋" w:eastAsia="仿宋"/>
          <w:color w:val="000000" w:themeColor="text1"/>
          <w14:textFill>
            <w14:solidFill>
              <w14:schemeClr w14:val="tx1"/>
            </w14:solidFill>
          </w14:textFill>
        </w:rPr>
        <w:t>，主锁舌启、闭应无阻滞现象</w:t>
      </w:r>
    </w:p>
    <w:p w14:paraId="6F561FE0">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5.2.2 </w:t>
      </w:r>
      <w:r>
        <w:rPr>
          <w:rFonts w:hint="eastAsia" w:ascii="仿宋" w:hAnsi="仿宋" w:eastAsia="仿宋"/>
          <w:color w:val="000000" w:themeColor="text1"/>
          <w14:textFill>
            <w14:solidFill>
              <w14:schemeClr w14:val="tx1"/>
            </w14:solidFill>
          </w14:textFill>
        </w:rPr>
        <w:t>对装有应急机械防盗锁头的电子锁，用机械钥匙操作主锁舌的转动扭矩应不大于1</w:t>
      </w:r>
      <w:r>
        <w:rPr>
          <w:rFonts w:ascii="仿宋" w:hAnsi="仿宋" w:eastAsia="仿宋"/>
          <w:color w:val="000000" w:themeColor="text1"/>
          <w14:textFill>
            <w14:solidFill>
              <w14:schemeClr w14:val="tx1"/>
            </w14:solidFill>
          </w14:textFill>
        </w:rPr>
        <w:t>.5N.m</w:t>
      </w:r>
      <w:r>
        <w:rPr>
          <w:rFonts w:hint="eastAsia" w:ascii="仿宋" w:hAnsi="仿宋" w:eastAsia="仿宋"/>
          <w:color w:val="000000" w:themeColor="text1"/>
          <w14:textFill>
            <w14:solidFill>
              <w14:schemeClr w14:val="tx1"/>
            </w14:solidFill>
          </w14:textFill>
        </w:rPr>
        <w:t>，主锁舌启、闭应无阻滞现象。</w:t>
      </w:r>
    </w:p>
    <w:p w14:paraId="732F359D">
      <w:pPr>
        <w:pStyle w:val="14"/>
        <w:rPr>
          <w:rFonts w:ascii="仿宋" w:hAnsi="仿宋"/>
          <w:color w:val="000000" w:themeColor="text1"/>
          <w14:textFill>
            <w14:solidFill>
              <w14:schemeClr w14:val="tx1"/>
            </w14:solidFill>
          </w14:textFill>
        </w:rPr>
      </w:pPr>
      <w:bookmarkStart w:id="25" w:name="_Toc100580744"/>
      <w:r>
        <w:rPr>
          <w:rFonts w:ascii="仿宋" w:hAnsi="仿宋"/>
          <w:color w:val="000000" w:themeColor="text1"/>
          <w14:textFill>
            <w14:solidFill>
              <w14:schemeClr w14:val="tx1"/>
            </w14:solidFill>
          </w14:textFill>
        </w:rPr>
        <w:t>5.3</w:t>
      </w:r>
      <w:r>
        <w:rPr>
          <w:rFonts w:hint="eastAsia" w:ascii="仿宋" w:hAnsi="仿宋"/>
          <w:color w:val="000000" w:themeColor="text1"/>
          <w14:textFill>
            <w14:solidFill>
              <w14:schemeClr w14:val="tx1"/>
            </w14:solidFill>
          </w14:textFill>
        </w:rPr>
        <w:t>强度要求</w:t>
      </w:r>
      <w:bookmarkEnd w:id="25"/>
    </w:p>
    <w:p w14:paraId="415DE455">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5.3.1</w:t>
      </w:r>
      <w:r>
        <w:rPr>
          <w:rFonts w:hint="eastAsia" w:ascii="仿宋" w:hAnsi="仿宋" w:eastAsia="仿宋"/>
          <w:color w:val="000000" w:themeColor="text1"/>
          <w14:textFill>
            <w14:solidFill>
              <w14:schemeClr w14:val="tx1"/>
            </w14:solidFill>
          </w14:textFill>
        </w:rPr>
        <w:t>锁壳强度要求</w:t>
      </w:r>
    </w:p>
    <w:p w14:paraId="0445091A">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5</w:t>
      </w:r>
      <w:r>
        <w:rPr>
          <w:rFonts w:ascii="仿宋" w:hAnsi="仿宋" w:eastAsia="仿宋"/>
          <w:color w:val="000000" w:themeColor="text1"/>
          <w14:textFill>
            <w14:solidFill>
              <w14:schemeClr w14:val="tx1"/>
            </w14:solidFill>
          </w14:textFill>
        </w:rPr>
        <w:t>.3.1.1</w:t>
      </w:r>
      <w:r>
        <w:rPr>
          <w:rFonts w:hint="eastAsia" w:ascii="仿宋" w:hAnsi="仿宋" w:eastAsia="仿宋"/>
          <w:color w:val="000000" w:themeColor="text1"/>
          <w14:textFill>
            <w14:solidFill>
              <w14:schemeClr w14:val="tx1"/>
            </w14:solidFill>
          </w14:textFill>
        </w:rPr>
        <w:t>锁壳应具有足够的机械强度和刚度，能承受</w:t>
      </w:r>
      <w:r>
        <w:rPr>
          <w:rFonts w:ascii="仿宋" w:hAnsi="仿宋" w:eastAsia="仿宋"/>
          <w:color w:val="000000" w:themeColor="text1"/>
          <w14:textFill>
            <w14:solidFill>
              <w14:schemeClr w14:val="tx1"/>
            </w14:solidFill>
          </w14:textFill>
        </w:rPr>
        <w:t>2.65J</w:t>
      </w:r>
      <w:r>
        <w:rPr>
          <w:rFonts w:hint="eastAsia" w:ascii="仿宋" w:hAnsi="仿宋" w:eastAsia="仿宋"/>
          <w:color w:val="000000" w:themeColor="text1"/>
          <w14:textFill>
            <w14:solidFill>
              <w14:schemeClr w14:val="tx1"/>
            </w14:solidFill>
          </w14:textFill>
        </w:rPr>
        <w:t>的冲击强度及</w:t>
      </w:r>
      <w:r>
        <w:rPr>
          <w:rFonts w:ascii="仿宋" w:hAnsi="仿宋" w:eastAsia="仿宋"/>
          <w:color w:val="000000" w:themeColor="text1"/>
          <w14:textFill>
            <w14:solidFill>
              <w14:schemeClr w14:val="tx1"/>
            </w14:solidFill>
          </w14:textFill>
        </w:rPr>
        <w:t>110N</w:t>
      </w:r>
      <w:r>
        <w:rPr>
          <w:rFonts w:hint="eastAsia" w:ascii="仿宋" w:hAnsi="仿宋" w:eastAsia="仿宋"/>
          <w:color w:val="000000" w:themeColor="text1"/>
          <w14:textFill>
            <w14:solidFill>
              <w14:schemeClr w14:val="tx1"/>
            </w14:solidFill>
          </w14:textFill>
        </w:rPr>
        <w:t>的静压力试验，不应产生明显变形和损坏。</w:t>
      </w:r>
    </w:p>
    <w:p w14:paraId="0C32C40A">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 xml:space="preserve">5.3.1.2 </w:t>
      </w:r>
      <w:r>
        <w:rPr>
          <w:rFonts w:hint="eastAsia" w:ascii="仿宋" w:hAnsi="仿宋" w:eastAsia="仿宋"/>
          <w:color w:val="000000" w:themeColor="text1"/>
          <w14:textFill>
            <w14:solidFill>
              <w14:schemeClr w14:val="tx1"/>
            </w14:solidFill>
          </w14:textFill>
        </w:rPr>
        <w:t>锁壳应具有防撬措施，在5分钟净工作时间内不应被撬开。</w:t>
      </w:r>
    </w:p>
    <w:p w14:paraId="3E00B6F5">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5.3.2</w:t>
      </w:r>
      <w:r>
        <w:rPr>
          <w:rFonts w:hint="eastAsia" w:ascii="仿宋" w:hAnsi="仿宋" w:eastAsia="仿宋"/>
          <w:color w:val="000000" w:themeColor="text1"/>
          <w14:textFill>
            <w14:solidFill>
              <w14:schemeClr w14:val="tx1"/>
            </w14:solidFill>
          </w14:textFill>
        </w:rPr>
        <w:t>主锁舌（栓）强度要求</w:t>
      </w:r>
    </w:p>
    <w:p w14:paraId="6C16AA52">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主锁舌（栓）强度应满足；3</w:t>
      </w:r>
      <w:r>
        <w:rPr>
          <w:rFonts w:ascii="仿宋" w:hAnsi="仿宋" w:eastAsia="仿宋"/>
          <w:color w:val="000000" w:themeColor="text1"/>
          <w14:textFill>
            <w14:solidFill>
              <w14:schemeClr w14:val="tx1"/>
            </w14:solidFill>
          </w14:textFill>
        </w:rPr>
        <w:t>000N</w:t>
      </w:r>
      <w:r>
        <w:rPr>
          <w:rFonts w:hint="eastAsia" w:ascii="仿宋" w:hAnsi="仿宋" w:eastAsia="仿宋"/>
          <w:color w:val="000000" w:themeColor="text1"/>
          <w14:textFill>
            <w14:solidFill>
              <w14:schemeClr w14:val="tx1"/>
            </w14:solidFill>
          </w14:textFill>
        </w:rPr>
        <w:t>的轴向静压力，回缩量不大于5</w:t>
      </w:r>
      <w:r>
        <w:rPr>
          <w:rFonts w:ascii="仿宋" w:hAnsi="仿宋" w:eastAsia="仿宋"/>
          <w:color w:val="000000" w:themeColor="text1"/>
          <w14:textFill>
            <w14:solidFill>
              <w14:schemeClr w14:val="tx1"/>
            </w14:solidFill>
          </w14:textFill>
        </w:rPr>
        <w:t>mm</w:t>
      </w:r>
      <w:r>
        <w:rPr>
          <w:rFonts w:hint="eastAsia" w:ascii="仿宋" w:hAnsi="仿宋" w:eastAsia="仿宋"/>
          <w:color w:val="000000" w:themeColor="text1"/>
          <w14:textFill>
            <w14:solidFill>
              <w14:schemeClr w14:val="tx1"/>
            </w14:solidFill>
          </w14:textFill>
        </w:rPr>
        <w:t>；侧向</w:t>
      </w:r>
      <w:r>
        <w:rPr>
          <w:rFonts w:ascii="仿宋" w:hAnsi="仿宋" w:eastAsia="仿宋"/>
          <w:color w:val="000000" w:themeColor="text1"/>
          <w14:textFill>
            <w14:solidFill>
              <w14:schemeClr w14:val="tx1"/>
            </w14:solidFill>
          </w14:textFill>
        </w:rPr>
        <w:t>6000N</w:t>
      </w:r>
      <w:r>
        <w:rPr>
          <w:rFonts w:hint="eastAsia" w:ascii="仿宋" w:hAnsi="仿宋" w:eastAsia="仿宋"/>
          <w:color w:val="000000" w:themeColor="text1"/>
          <w14:textFill>
            <w14:solidFill>
              <w14:schemeClr w14:val="tx1"/>
            </w14:solidFill>
          </w14:textFill>
        </w:rPr>
        <w:t>静压力后，能正常使用。</w:t>
      </w:r>
    </w:p>
    <w:p w14:paraId="4293D40C">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钩舌、爪舌强度应满足，</w:t>
      </w:r>
      <w:r>
        <w:rPr>
          <w:rFonts w:ascii="仿宋" w:hAnsi="仿宋" w:eastAsia="仿宋"/>
          <w:color w:val="000000" w:themeColor="text1"/>
          <w14:textFill>
            <w14:solidFill>
              <w14:schemeClr w14:val="tx1"/>
            </w14:solidFill>
          </w14:textFill>
        </w:rPr>
        <w:t>4000N</w:t>
      </w:r>
      <w:r>
        <w:rPr>
          <w:rFonts w:hint="eastAsia" w:ascii="仿宋" w:hAnsi="仿宋" w:eastAsia="仿宋"/>
          <w:color w:val="000000" w:themeColor="text1"/>
          <w14:textFill>
            <w14:solidFill>
              <w14:schemeClr w14:val="tx1"/>
            </w14:solidFill>
          </w14:textFill>
        </w:rPr>
        <w:t>的侧向静压力、4</w:t>
      </w:r>
      <w:r>
        <w:rPr>
          <w:rFonts w:ascii="仿宋" w:hAnsi="仿宋" w:eastAsia="仿宋"/>
          <w:color w:val="000000" w:themeColor="text1"/>
          <w14:textFill>
            <w14:solidFill>
              <w14:schemeClr w14:val="tx1"/>
            </w14:solidFill>
          </w14:textFill>
        </w:rPr>
        <w:t>000N</w:t>
      </w:r>
      <w:r>
        <w:rPr>
          <w:rFonts w:hint="eastAsia" w:ascii="仿宋" w:hAnsi="仿宋" w:eastAsia="仿宋"/>
          <w:color w:val="000000" w:themeColor="text1"/>
          <w14:textFill>
            <w14:solidFill>
              <w14:schemeClr w14:val="tx1"/>
            </w14:solidFill>
          </w14:textFill>
        </w:rPr>
        <w:t>轴向拉力、4</w:t>
      </w:r>
      <w:r>
        <w:rPr>
          <w:rFonts w:ascii="仿宋" w:hAnsi="仿宋" w:eastAsia="仿宋"/>
          <w:color w:val="000000" w:themeColor="text1"/>
          <w14:textFill>
            <w14:solidFill>
              <w14:schemeClr w14:val="tx1"/>
            </w14:solidFill>
          </w14:textFill>
        </w:rPr>
        <w:t>000N</w:t>
      </w:r>
      <w:r>
        <w:rPr>
          <w:rFonts w:hint="eastAsia" w:ascii="仿宋" w:hAnsi="仿宋" w:eastAsia="仿宋"/>
          <w:color w:val="000000" w:themeColor="text1"/>
          <w14:textFill>
            <w14:solidFill>
              <w14:schemeClr w14:val="tx1"/>
            </w14:solidFill>
          </w14:textFill>
        </w:rPr>
        <w:t>抗脱出力后能正常使用。</w:t>
      </w:r>
    </w:p>
    <w:p w14:paraId="7CE4334A">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5.3.3</w:t>
      </w:r>
      <w:r>
        <w:rPr>
          <w:rFonts w:hint="eastAsia" w:ascii="仿宋" w:hAnsi="仿宋" w:eastAsia="仿宋"/>
          <w:color w:val="000000" w:themeColor="text1"/>
          <w14:textFill>
            <w14:solidFill>
              <w14:schemeClr w14:val="tx1"/>
            </w14:solidFill>
          </w14:textFill>
        </w:rPr>
        <w:t>手动部件强度要求</w:t>
      </w:r>
    </w:p>
    <w:p w14:paraId="5A8CCFF4">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应满足要求，在1</w:t>
      </w:r>
      <w:r>
        <w:rPr>
          <w:rFonts w:ascii="仿宋" w:hAnsi="仿宋" w:eastAsia="仿宋"/>
          <w:color w:val="000000" w:themeColor="text1"/>
          <w14:textFill>
            <w14:solidFill>
              <w14:schemeClr w14:val="tx1"/>
            </w14:solidFill>
          </w14:textFill>
        </w:rPr>
        <w:t>600N</w:t>
      </w:r>
      <w:r>
        <w:rPr>
          <w:rFonts w:hint="eastAsia" w:ascii="仿宋" w:hAnsi="仿宋" w:eastAsia="仿宋"/>
          <w:color w:val="000000" w:themeColor="text1"/>
          <w14:textFill>
            <w14:solidFill>
              <w14:schemeClr w14:val="tx1"/>
            </w14:solidFill>
          </w14:textFill>
        </w:rPr>
        <w:t>静拉力和5</w:t>
      </w:r>
      <w:r>
        <w:rPr>
          <w:rFonts w:ascii="仿宋" w:hAnsi="仿宋" w:eastAsia="仿宋"/>
          <w:color w:val="000000" w:themeColor="text1"/>
          <w14:textFill>
            <w14:solidFill>
              <w14:schemeClr w14:val="tx1"/>
            </w14:solidFill>
          </w14:textFill>
        </w:rPr>
        <w:t>0N.m</w:t>
      </w:r>
      <w:r>
        <w:rPr>
          <w:rFonts w:hint="eastAsia" w:ascii="仿宋" w:hAnsi="仿宋" w:eastAsia="仿宋"/>
          <w:color w:val="000000" w:themeColor="text1"/>
          <w14:textFill>
            <w14:solidFill>
              <w14:schemeClr w14:val="tx1"/>
            </w14:solidFill>
          </w14:textFill>
        </w:rPr>
        <w:t>扭矩时，锁具不应开启，手动部件不应产生变形和损坏。</w:t>
      </w:r>
    </w:p>
    <w:p w14:paraId="28EA735E">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5.3.4</w:t>
      </w:r>
      <w:r>
        <w:rPr>
          <w:rFonts w:hint="eastAsia" w:ascii="仿宋" w:hAnsi="仿宋" w:eastAsia="仿宋"/>
          <w:color w:val="000000" w:themeColor="text1"/>
          <w14:textFill>
            <w14:solidFill>
              <w14:schemeClr w14:val="tx1"/>
            </w14:solidFill>
          </w14:textFill>
        </w:rPr>
        <w:t>锁扣盒（板）强度要求</w:t>
      </w:r>
    </w:p>
    <w:p w14:paraId="6FDC8945">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电子锁锁扣盒（板）在分别承受5</w:t>
      </w:r>
      <w:r>
        <w:rPr>
          <w:rFonts w:ascii="仿宋" w:hAnsi="仿宋" w:eastAsia="仿宋"/>
          <w:color w:val="000000" w:themeColor="text1"/>
          <w14:textFill>
            <w14:solidFill>
              <w14:schemeClr w14:val="tx1"/>
            </w14:solidFill>
          </w14:textFill>
        </w:rPr>
        <w:t>000N</w:t>
      </w:r>
      <w:r>
        <w:rPr>
          <w:rFonts w:hint="eastAsia" w:ascii="仿宋" w:hAnsi="仿宋" w:eastAsia="仿宋"/>
          <w:color w:val="000000" w:themeColor="text1"/>
          <w14:textFill>
            <w14:solidFill>
              <w14:schemeClr w14:val="tx1"/>
            </w14:solidFill>
          </w14:textFill>
        </w:rPr>
        <w:t>轴向静压力和5</w:t>
      </w:r>
      <w:r>
        <w:rPr>
          <w:rFonts w:ascii="仿宋" w:hAnsi="仿宋" w:eastAsia="仿宋"/>
          <w:color w:val="000000" w:themeColor="text1"/>
          <w14:textFill>
            <w14:solidFill>
              <w14:schemeClr w14:val="tx1"/>
            </w14:solidFill>
          </w14:textFill>
        </w:rPr>
        <w:t>000N</w:t>
      </w:r>
      <w:r>
        <w:rPr>
          <w:rFonts w:hint="eastAsia" w:ascii="仿宋" w:hAnsi="仿宋" w:eastAsia="仿宋"/>
          <w:color w:val="000000" w:themeColor="text1"/>
          <w14:textFill>
            <w14:solidFill>
              <w14:schemeClr w14:val="tx1"/>
            </w14:solidFill>
          </w14:textFill>
        </w:rPr>
        <w:t>侧向静压力后，能正常使用。</w:t>
      </w:r>
    </w:p>
    <w:p w14:paraId="3550990E">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5.3.5</w:t>
      </w:r>
      <w:r>
        <w:rPr>
          <w:rFonts w:hint="eastAsia" w:ascii="仿宋" w:hAnsi="仿宋" w:eastAsia="仿宋"/>
          <w:color w:val="000000" w:themeColor="text1"/>
          <w14:textFill>
            <w14:solidFill>
              <w14:schemeClr w14:val="tx1"/>
            </w14:solidFill>
          </w14:textFill>
        </w:rPr>
        <w:t>识读装置强度要求</w:t>
      </w:r>
    </w:p>
    <w:p w14:paraId="73485680">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在识读装置上施加</w:t>
      </w:r>
      <w:r>
        <w:rPr>
          <w:rFonts w:ascii="仿宋" w:hAnsi="仿宋" w:eastAsia="仿宋"/>
          <w:color w:val="000000" w:themeColor="text1"/>
          <w14:textFill>
            <w14:solidFill>
              <w14:schemeClr w14:val="tx1"/>
            </w14:solidFill>
          </w14:textFill>
        </w:rPr>
        <w:t>110N</w:t>
      </w:r>
      <w:r>
        <w:rPr>
          <w:rFonts w:hint="eastAsia" w:ascii="仿宋" w:hAnsi="仿宋" w:eastAsia="仿宋"/>
          <w:color w:val="000000" w:themeColor="text1"/>
          <w14:textFill>
            <w14:solidFill>
              <w14:schemeClr w14:val="tx1"/>
            </w14:solidFill>
          </w14:textFill>
        </w:rPr>
        <w:t>的静压力，作用</w:t>
      </w:r>
      <w:r>
        <w:rPr>
          <w:rFonts w:ascii="仿宋" w:hAnsi="仿宋" w:eastAsia="仿宋"/>
          <w:color w:val="000000" w:themeColor="text1"/>
          <w14:textFill>
            <w14:solidFill>
              <w14:schemeClr w14:val="tx1"/>
            </w14:solidFill>
          </w14:textFill>
        </w:rPr>
        <w:t>60s</w:t>
      </w:r>
      <w:r>
        <w:rPr>
          <w:rFonts w:hint="eastAsia" w:ascii="仿宋" w:hAnsi="仿宋" w:eastAsia="仿宋"/>
          <w:color w:val="000000" w:themeColor="text1"/>
          <w14:textFill>
            <w14:solidFill>
              <w14:schemeClr w14:val="tx1"/>
            </w14:solidFill>
          </w14:textFill>
        </w:rPr>
        <w:t>±</w:t>
      </w:r>
      <w:r>
        <w:rPr>
          <w:rFonts w:ascii="仿宋" w:hAnsi="仿宋" w:eastAsia="仿宋"/>
          <w:color w:val="000000" w:themeColor="text1"/>
          <w14:textFill>
            <w14:solidFill>
              <w14:schemeClr w14:val="tx1"/>
            </w14:solidFill>
          </w14:textFill>
        </w:rPr>
        <w:t>2s</w:t>
      </w:r>
      <w:r>
        <w:rPr>
          <w:rFonts w:hint="eastAsia" w:ascii="仿宋" w:hAnsi="仿宋" w:eastAsia="仿宋"/>
          <w:color w:val="000000" w:themeColor="text1"/>
          <w14:textFill>
            <w14:solidFill>
              <w14:schemeClr w14:val="tx1"/>
            </w14:solidFill>
          </w14:textFill>
        </w:rPr>
        <w:t>，不应产生永久变形和损坏。</w:t>
      </w:r>
    </w:p>
    <w:p w14:paraId="2152801C">
      <w:pPr>
        <w:pStyle w:val="16"/>
        <w:rPr>
          <w:rFonts w:ascii="仿宋" w:hAnsi="仿宋"/>
          <w:color w:val="000000" w:themeColor="text1"/>
          <w14:textFill>
            <w14:solidFill>
              <w14:schemeClr w14:val="tx1"/>
            </w14:solidFill>
          </w14:textFill>
        </w:rPr>
      </w:pPr>
      <w:bookmarkStart w:id="26" w:name="_Toc100580745"/>
      <w:r>
        <w:rPr>
          <w:rFonts w:hint="eastAsia" w:ascii="仿宋" w:hAnsi="仿宋"/>
          <w:color w:val="000000" w:themeColor="text1"/>
          <w14:textFill>
            <w14:solidFill>
              <w14:schemeClr w14:val="tx1"/>
            </w14:solidFill>
          </w14:textFill>
        </w:rPr>
        <w:t>六、电子锁配件及功能要求</w:t>
      </w:r>
      <w:bookmarkEnd w:id="26"/>
    </w:p>
    <w:p w14:paraId="410526EC">
      <w:pPr>
        <w:pStyle w:val="14"/>
        <w:rPr>
          <w:rFonts w:ascii="仿宋" w:hAnsi="仿宋"/>
          <w:color w:val="000000" w:themeColor="text1"/>
          <w14:textFill>
            <w14:solidFill>
              <w14:schemeClr w14:val="tx1"/>
            </w14:solidFill>
          </w14:textFill>
        </w:rPr>
      </w:pPr>
      <w:bookmarkStart w:id="27" w:name="_Toc100580746"/>
      <w:r>
        <w:rPr>
          <w:rFonts w:ascii="仿宋" w:hAnsi="仿宋"/>
          <w:color w:val="000000" w:themeColor="text1"/>
          <w14:textFill>
            <w14:solidFill>
              <w14:schemeClr w14:val="tx1"/>
            </w14:solidFill>
          </w14:textFill>
        </w:rPr>
        <w:t>6.1</w:t>
      </w:r>
      <w:r>
        <w:rPr>
          <w:rFonts w:hint="eastAsia" w:ascii="仿宋" w:hAnsi="仿宋"/>
          <w:color w:val="000000" w:themeColor="text1"/>
          <w14:textFill>
            <w14:solidFill>
              <w14:schemeClr w14:val="tx1"/>
            </w14:solidFill>
          </w14:textFill>
        </w:rPr>
        <w:t>钥匙要求</w:t>
      </w:r>
      <w:bookmarkEnd w:id="27"/>
    </w:p>
    <w:p w14:paraId="51274557">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6.1</w:t>
      </w:r>
      <w:r>
        <w:rPr>
          <w:rFonts w:hint="eastAsia" w:ascii="仿宋" w:hAnsi="仿宋" w:eastAsia="仿宋"/>
          <w:color w:val="000000" w:themeColor="text1"/>
          <w14:textFill>
            <w14:solidFill>
              <w14:schemeClr w14:val="tx1"/>
            </w14:solidFill>
          </w14:textFill>
        </w:rPr>
        <w:t>.1数字钥匙抗静电</w:t>
      </w:r>
    </w:p>
    <w:p w14:paraId="142B50A9">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在数字钥匙的信息载体上任意点与地之间施加1500V静电电压，试验后应能正常工作。</w:t>
      </w:r>
    </w:p>
    <w:p w14:paraId="0C261C8D">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6.1</w:t>
      </w:r>
      <w:r>
        <w:rPr>
          <w:rFonts w:hint="eastAsia" w:ascii="仿宋" w:hAnsi="仿宋" w:eastAsia="仿宋"/>
          <w:color w:val="000000" w:themeColor="text1"/>
          <w14:textFill>
            <w14:solidFill>
              <w14:schemeClr w14:val="tx1"/>
            </w14:solidFill>
          </w14:textFill>
        </w:rPr>
        <w:t>.2机械钥匙强度</w:t>
      </w:r>
    </w:p>
    <w:p w14:paraId="7F33E02E">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对装有应急机械防盗锁头的电子锁，其机械钥匙的强度应符合GA/T73-2015中5.2.6的规定</w:t>
      </w:r>
    </w:p>
    <w:p w14:paraId="3BA9C9E9">
      <w:pPr>
        <w:pStyle w:val="14"/>
        <w:rPr>
          <w:rFonts w:ascii="仿宋" w:hAnsi="仿宋"/>
          <w:color w:val="000000" w:themeColor="text1"/>
          <w14:textFill>
            <w14:solidFill>
              <w14:schemeClr w14:val="tx1"/>
            </w14:solidFill>
          </w14:textFill>
        </w:rPr>
      </w:pPr>
      <w:bookmarkStart w:id="28" w:name="_Toc100580747"/>
      <w:r>
        <w:rPr>
          <w:rFonts w:ascii="仿宋" w:hAnsi="仿宋"/>
          <w:color w:val="000000" w:themeColor="text1"/>
          <w14:textFill>
            <w14:solidFill>
              <w14:schemeClr w14:val="tx1"/>
            </w14:solidFill>
          </w14:textFill>
        </w:rPr>
        <w:t>6.2</w:t>
      </w:r>
      <w:r>
        <w:rPr>
          <w:rFonts w:hint="eastAsia" w:ascii="仿宋" w:hAnsi="仿宋"/>
          <w:color w:val="000000" w:themeColor="text1"/>
          <w14:textFill>
            <w14:solidFill>
              <w14:schemeClr w14:val="tx1"/>
            </w14:solidFill>
          </w14:textFill>
        </w:rPr>
        <w:t>耐久性</w:t>
      </w:r>
      <w:bookmarkEnd w:id="28"/>
    </w:p>
    <w:p w14:paraId="0F1C9808">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电子锁在额定电压的额定负载电流的</w:t>
      </w:r>
      <w:r>
        <w:rPr>
          <w:rFonts w:hint="eastAsia" w:ascii="仿宋" w:hAnsi="仿宋" w:eastAsia="仿宋"/>
          <w:color w:val="000000" w:themeColor="text1"/>
          <w:highlight w:val="none"/>
          <w14:textFill>
            <w14:solidFill>
              <w14:schemeClr w14:val="tx1"/>
            </w14:solidFill>
          </w14:textFill>
        </w:rPr>
        <w:t>情况下，进行</w:t>
      </w:r>
      <w:r>
        <w:rPr>
          <w:rFonts w:hint="eastAsia" w:ascii="仿宋" w:hAnsi="仿宋" w:eastAsia="仿宋"/>
          <w:color w:val="000000" w:themeColor="text1"/>
          <w:highlight w:val="none"/>
          <w:lang w:val="en-US" w:eastAsia="zh-CN"/>
          <w14:textFill>
            <w14:solidFill>
              <w14:schemeClr w14:val="tx1"/>
            </w14:solidFill>
          </w14:textFill>
        </w:rPr>
        <w:t>1</w:t>
      </w:r>
      <w:r>
        <w:rPr>
          <w:rFonts w:ascii="仿宋" w:hAnsi="仿宋" w:eastAsia="仿宋"/>
          <w:color w:val="000000" w:themeColor="text1"/>
          <w:highlight w:val="none"/>
          <w14:textFill>
            <w14:solidFill>
              <w14:schemeClr w14:val="tx1"/>
            </w14:solidFill>
          </w14:textFill>
        </w:rPr>
        <w:t>0</w:t>
      </w:r>
      <w:r>
        <w:rPr>
          <w:rFonts w:hint="eastAsia" w:ascii="仿宋" w:hAnsi="仿宋" w:eastAsia="仿宋"/>
          <w:color w:val="000000" w:themeColor="text1"/>
          <w:highlight w:val="none"/>
          <w14:textFill>
            <w14:solidFill>
              <w14:schemeClr w14:val="tx1"/>
            </w14:solidFill>
          </w14:textFill>
        </w:rPr>
        <w:t>000次锁具启、</w:t>
      </w:r>
      <w:r>
        <w:rPr>
          <w:rFonts w:hint="eastAsia" w:ascii="仿宋" w:hAnsi="仿宋" w:eastAsia="仿宋"/>
          <w:color w:val="000000" w:themeColor="text1"/>
          <w14:textFill>
            <w14:solidFill>
              <w14:schemeClr w14:val="tx1"/>
            </w14:solidFill>
          </w14:textFill>
        </w:rPr>
        <w:t>闭操作，试验后不应有电气部件或机械部件的损坏或失效，且应能正常工作。</w:t>
      </w:r>
    </w:p>
    <w:p w14:paraId="52122608">
      <w:pPr>
        <w:pStyle w:val="14"/>
        <w:rPr>
          <w:rFonts w:ascii="仿宋" w:hAnsi="仿宋"/>
          <w:color w:val="000000" w:themeColor="text1"/>
          <w14:textFill>
            <w14:solidFill>
              <w14:schemeClr w14:val="tx1"/>
            </w14:solidFill>
          </w14:textFill>
        </w:rPr>
      </w:pPr>
      <w:bookmarkStart w:id="29" w:name="_Toc100580748"/>
      <w:r>
        <w:rPr>
          <w:rFonts w:hint="eastAsia" w:ascii="仿宋" w:hAnsi="仿宋"/>
          <w:color w:val="000000" w:themeColor="text1"/>
          <w14:textFill>
            <w14:solidFill>
              <w14:schemeClr w14:val="tx1"/>
            </w14:solidFill>
          </w14:textFill>
        </w:rPr>
        <w:t>6</w:t>
      </w:r>
      <w:r>
        <w:rPr>
          <w:rFonts w:ascii="仿宋" w:hAnsi="仿宋"/>
          <w:color w:val="000000" w:themeColor="text1"/>
          <w14:textFill>
            <w14:solidFill>
              <w14:schemeClr w14:val="tx1"/>
            </w14:solidFill>
          </w14:textFill>
        </w:rPr>
        <w:t>.3</w:t>
      </w:r>
      <w:r>
        <w:rPr>
          <w:rFonts w:hint="eastAsia" w:ascii="仿宋" w:hAnsi="仿宋"/>
          <w:color w:val="000000" w:themeColor="text1"/>
          <w14:textFill>
            <w14:solidFill>
              <w14:schemeClr w14:val="tx1"/>
            </w14:solidFill>
          </w14:textFill>
        </w:rPr>
        <w:t>按键寿命</w:t>
      </w:r>
      <w:bookmarkEnd w:id="29"/>
    </w:p>
    <w:p w14:paraId="3BFE3353">
      <w:pPr>
        <w:ind w:firstLine="420" w:firstLineChars="200"/>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14:textFill>
            <w14:solidFill>
              <w14:schemeClr w14:val="tx1"/>
            </w14:solidFill>
          </w14:textFill>
        </w:rPr>
        <w:t>具有密码按键的智能门锁，密码识别区上任一按键经过</w:t>
      </w:r>
      <w:r>
        <w:rPr>
          <w:rFonts w:ascii="仿宋" w:hAnsi="仿宋" w:eastAsia="仿宋"/>
          <w:color w:val="000000" w:themeColor="text1"/>
          <w14:textFill>
            <w14:solidFill>
              <w14:schemeClr w14:val="tx1"/>
            </w14:solidFill>
          </w14:textFill>
        </w:rPr>
        <w:t>50000</w:t>
      </w:r>
      <w:r>
        <w:rPr>
          <w:rFonts w:hint="eastAsia" w:ascii="仿宋" w:hAnsi="仿宋" w:eastAsia="仿宋"/>
          <w:color w:val="000000" w:themeColor="text1"/>
          <w14:textFill>
            <w14:solidFill>
              <w14:schemeClr w14:val="tx1"/>
            </w14:solidFill>
          </w14:textFill>
        </w:rPr>
        <w:t>次动作后，试验后密码按键应能正常使用。</w:t>
      </w:r>
    </w:p>
    <w:p w14:paraId="6AD5C88A">
      <w:pPr>
        <w:pStyle w:val="14"/>
        <w:rPr>
          <w:rFonts w:ascii="仿宋" w:hAnsi="仿宋"/>
          <w:color w:val="000000" w:themeColor="text1"/>
          <w:highlight w:val="none"/>
          <w14:textFill>
            <w14:solidFill>
              <w14:schemeClr w14:val="tx1"/>
            </w14:solidFill>
          </w14:textFill>
        </w:rPr>
      </w:pPr>
      <w:bookmarkStart w:id="30" w:name="_Toc100580749"/>
      <w:r>
        <w:rPr>
          <w:rFonts w:ascii="仿宋" w:hAnsi="仿宋"/>
          <w:color w:val="000000" w:themeColor="text1"/>
          <w:highlight w:val="none"/>
          <w14:textFill>
            <w14:solidFill>
              <w14:schemeClr w14:val="tx1"/>
            </w14:solidFill>
          </w14:textFill>
        </w:rPr>
        <w:t>6.4</w:t>
      </w:r>
      <w:r>
        <w:rPr>
          <w:rFonts w:hint="eastAsia" w:ascii="仿宋" w:hAnsi="仿宋"/>
          <w:color w:val="000000" w:themeColor="text1"/>
          <w:highlight w:val="none"/>
          <w14:textFill>
            <w14:solidFill>
              <w14:schemeClr w14:val="tx1"/>
            </w14:solidFill>
          </w14:textFill>
        </w:rPr>
        <w:t>防技术开启要求</w:t>
      </w:r>
      <w:bookmarkEnd w:id="30"/>
    </w:p>
    <w:p w14:paraId="3FCA43BA">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6.4</w:t>
      </w:r>
      <w:r>
        <w:rPr>
          <w:rFonts w:hint="eastAsia" w:ascii="仿宋" w:hAnsi="仿宋" w:eastAsia="仿宋"/>
          <w:color w:val="000000" w:themeColor="text1"/>
          <w14:textFill>
            <w14:solidFill>
              <w14:schemeClr w14:val="tx1"/>
            </w14:solidFill>
          </w14:textFill>
        </w:rPr>
        <w:t>.1防强电场技术开启</w:t>
      </w:r>
    </w:p>
    <w:p w14:paraId="3440F22B">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正常工作的电子锁在50V/m的强电场的作用下，不应出现开启现象。</w:t>
      </w:r>
    </w:p>
    <w:p w14:paraId="7F023E05">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6.4</w:t>
      </w:r>
      <w:r>
        <w:rPr>
          <w:rFonts w:hint="eastAsia" w:ascii="仿宋" w:hAnsi="仿宋" w:eastAsia="仿宋"/>
          <w:color w:val="000000" w:themeColor="text1"/>
          <w14:textFill>
            <w14:solidFill>
              <w14:schemeClr w14:val="tx1"/>
            </w14:solidFill>
          </w14:textFill>
        </w:rPr>
        <w:t>.2防强磁场技术开启</w:t>
      </w:r>
    </w:p>
    <w:p w14:paraId="51721BEA">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正常工作的电子锁在0.5T的强磁场的作用下，不应出现开启现象。</w:t>
      </w:r>
    </w:p>
    <w:p w14:paraId="4D12A0DD">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6.4</w:t>
      </w:r>
      <w:r>
        <w:rPr>
          <w:rFonts w:hint="eastAsia" w:ascii="仿宋" w:hAnsi="仿宋" w:eastAsia="仿宋"/>
          <w:color w:val="000000" w:themeColor="text1"/>
          <w14:textFill>
            <w14:solidFill>
              <w14:schemeClr w14:val="tx1"/>
            </w14:solidFill>
          </w14:textFill>
        </w:rPr>
        <w:t>.3防机械技术开启</w:t>
      </w:r>
    </w:p>
    <w:p w14:paraId="050FC0FB">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对装有应急机械防盗锁头的电子锁，由专业技术人员采用技术手段实施机械方式技术开启，电子锁在10min内不能被开启。</w:t>
      </w:r>
    </w:p>
    <w:p w14:paraId="3BB41FCF">
      <w:pPr>
        <w:pStyle w:val="14"/>
        <w:rPr>
          <w:rFonts w:ascii="仿宋" w:hAnsi="仿宋"/>
          <w:color w:val="000000" w:themeColor="text1"/>
          <w:highlight w:val="none"/>
          <w14:textFill>
            <w14:solidFill>
              <w14:schemeClr w14:val="tx1"/>
            </w14:solidFill>
          </w14:textFill>
        </w:rPr>
      </w:pPr>
      <w:bookmarkStart w:id="31" w:name="_Toc100580750"/>
      <w:r>
        <w:rPr>
          <w:rFonts w:ascii="仿宋" w:hAnsi="仿宋"/>
          <w:color w:val="000000" w:themeColor="text1"/>
          <w:highlight w:val="none"/>
          <w14:textFill>
            <w14:solidFill>
              <w14:schemeClr w14:val="tx1"/>
            </w14:solidFill>
          </w14:textFill>
        </w:rPr>
        <w:t>6.5</w:t>
      </w:r>
      <w:r>
        <w:rPr>
          <w:rFonts w:hint="eastAsia" w:ascii="仿宋" w:hAnsi="仿宋"/>
          <w:color w:val="000000" w:themeColor="text1"/>
          <w:highlight w:val="none"/>
          <w14:textFill>
            <w14:solidFill>
              <w14:schemeClr w14:val="tx1"/>
            </w14:solidFill>
          </w14:textFill>
        </w:rPr>
        <w:t>应急机械防盗锁头</w:t>
      </w:r>
      <w:bookmarkEnd w:id="31"/>
    </w:p>
    <w:p w14:paraId="021F8672">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6.5</w:t>
      </w:r>
      <w:r>
        <w:rPr>
          <w:rFonts w:hint="eastAsia" w:ascii="仿宋" w:hAnsi="仿宋" w:eastAsia="仿宋"/>
          <w:color w:val="000000" w:themeColor="text1"/>
          <w14:textFill>
            <w14:solidFill>
              <w14:schemeClr w14:val="tx1"/>
            </w14:solidFill>
          </w14:textFill>
        </w:rPr>
        <w:t>.1防钻</w:t>
      </w:r>
    </w:p>
    <w:p w14:paraId="15F41D0C">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对装有应急机械防盗锁头的电子锁，其应急机械防盗锁锁头被破坏、被打开的净工作时间应不少于15min。</w:t>
      </w:r>
    </w:p>
    <w:p w14:paraId="400904B2">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6.5</w:t>
      </w:r>
      <w:r>
        <w:rPr>
          <w:rFonts w:hint="eastAsia" w:ascii="仿宋" w:hAnsi="仿宋" w:eastAsia="仿宋"/>
          <w:color w:val="000000" w:themeColor="text1"/>
          <w14:textFill>
            <w14:solidFill>
              <w14:schemeClr w14:val="tx1"/>
            </w14:solidFill>
          </w14:textFill>
        </w:rPr>
        <w:t>.2差异量</w:t>
      </w:r>
    </w:p>
    <w:p w14:paraId="392BA760">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对装有应急机械防盗锁头的电子锁，其机械防盗锁头的差异量应符合GA/T73-2015中5.7.1的规定。</w:t>
      </w:r>
    </w:p>
    <w:p w14:paraId="5857BCD9">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6.5</w:t>
      </w:r>
      <w:r>
        <w:rPr>
          <w:rFonts w:hint="eastAsia" w:ascii="仿宋" w:hAnsi="仿宋" w:eastAsia="仿宋"/>
          <w:color w:val="000000" w:themeColor="text1"/>
          <w14:textFill>
            <w14:solidFill>
              <w14:schemeClr w14:val="tx1"/>
            </w14:solidFill>
          </w14:textFill>
        </w:rPr>
        <w:t>.3理论密匙量、实际可用密匙量和互开率</w:t>
      </w:r>
    </w:p>
    <w:p w14:paraId="362B8379">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对装有应急机械防盗锁头的电子锁，其机械防盗锁头理论密匙量应不少于3*10</w:t>
      </w:r>
      <w:r>
        <w:rPr>
          <w:rFonts w:hint="eastAsia" w:ascii="仿宋" w:hAnsi="仿宋" w:eastAsia="仿宋"/>
          <w:color w:val="000000" w:themeColor="text1"/>
          <w:vertAlign w:val="superscript"/>
          <w14:textFill>
            <w14:solidFill>
              <w14:schemeClr w14:val="tx1"/>
            </w14:solidFill>
          </w14:textFill>
        </w:rPr>
        <w:t>4</w:t>
      </w:r>
      <w:r>
        <w:rPr>
          <w:rFonts w:hint="eastAsia" w:ascii="仿宋" w:hAnsi="仿宋" w:eastAsia="仿宋"/>
          <w:color w:val="000000" w:themeColor="text1"/>
          <w14:textFill>
            <w14:solidFill>
              <w14:schemeClr w14:val="tx1"/>
            </w14:solidFill>
          </w14:textFill>
        </w:rPr>
        <w:t>种，差异交换数为2个。实际可用密匙量，应不少于理论密匙量的40%。互开率应不大于0.01%。</w:t>
      </w:r>
    </w:p>
    <w:p w14:paraId="59002073">
      <w:pPr>
        <w:pStyle w:val="14"/>
        <w:rPr>
          <w:rFonts w:ascii="仿宋" w:hAnsi="仿宋"/>
          <w:color w:val="000000" w:themeColor="text1"/>
          <w:highlight w:val="none"/>
          <w14:textFill>
            <w14:solidFill>
              <w14:schemeClr w14:val="tx1"/>
            </w14:solidFill>
          </w14:textFill>
        </w:rPr>
      </w:pPr>
      <w:bookmarkStart w:id="32" w:name="_Toc100580751"/>
      <w:r>
        <w:rPr>
          <w:rFonts w:ascii="仿宋" w:hAnsi="仿宋"/>
          <w:color w:val="000000" w:themeColor="text1"/>
          <w:highlight w:val="none"/>
          <w14:textFill>
            <w14:solidFill>
              <w14:schemeClr w14:val="tx1"/>
            </w14:solidFill>
          </w14:textFill>
        </w:rPr>
        <w:t>6.6</w:t>
      </w:r>
      <w:r>
        <w:rPr>
          <w:rFonts w:hint="eastAsia" w:ascii="仿宋" w:hAnsi="仿宋"/>
          <w:color w:val="000000" w:themeColor="text1"/>
          <w:highlight w:val="none"/>
          <w14:textFill>
            <w14:solidFill>
              <w14:schemeClr w14:val="tx1"/>
            </w14:solidFill>
          </w14:textFill>
        </w:rPr>
        <w:t>电源</w:t>
      </w:r>
      <w:bookmarkEnd w:id="32"/>
    </w:p>
    <w:p w14:paraId="489FFE4C">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6.6</w:t>
      </w:r>
      <w:r>
        <w:rPr>
          <w:rFonts w:hint="eastAsia" w:ascii="仿宋" w:hAnsi="仿宋" w:eastAsia="仿宋"/>
          <w:color w:val="000000" w:themeColor="text1"/>
          <w14:textFill>
            <w14:solidFill>
              <w14:schemeClr w14:val="tx1"/>
            </w14:solidFill>
          </w14:textFill>
        </w:rPr>
        <w:t>.1供电方式</w:t>
      </w:r>
    </w:p>
    <w:p w14:paraId="223929DE">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电子锁本体供电应采用直流电压电源（如电池）</w:t>
      </w:r>
      <w:r>
        <w:rPr>
          <w:rFonts w:hint="eastAsia" w:ascii="仿宋" w:hAnsi="仿宋" w:eastAsia="仿宋"/>
          <w:color w:val="000000" w:themeColor="text1"/>
          <w:lang w:val="en-US" w:eastAsia="zh-CN"/>
          <w14:textFill>
            <w14:solidFill>
              <w14:schemeClr w14:val="tx1"/>
            </w14:solidFill>
          </w14:textFill>
        </w:rPr>
        <w:t>或交流电网电源转直流电压进行供电</w:t>
      </w:r>
    </w:p>
    <w:p w14:paraId="104BEB46">
      <w:pPr>
        <w:rPr>
          <w:rFonts w:ascii="仿宋" w:hAnsi="仿宋" w:eastAsia="仿宋"/>
          <w:color w:val="000000" w:themeColor="text1"/>
          <w:highlight w:val="green"/>
          <w14:textFill>
            <w14:solidFill>
              <w14:schemeClr w14:val="tx1"/>
            </w14:solidFill>
          </w14:textFill>
        </w:rPr>
      </w:pPr>
      <w:r>
        <w:rPr>
          <w:rFonts w:ascii="仿宋" w:hAnsi="仿宋" w:eastAsia="仿宋"/>
          <w:color w:val="000000" w:themeColor="text1"/>
          <w:highlight w:val="green"/>
          <w14:textFill>
            <w14:solidFill>
              <w14:schemeClr w14:val="tx1"/>
            </w14:solidFill>
          </w14:textFill>
        </w:rPr>
        <w:t>6.6</w:t>
      </w:r>
      <w:r>
        <w:rPr>
          <w:rFonts w:hint="eastAsia" w:ascii="仿宋" w:hAnsi="仿宋" w:eastAsia="仿宋"/>
          <w:color w:val="000000" w:themeColor="text1"/>
          <w:highlight w:val="green"/>
          <w14:textFill>
            <w14:solidFill>
              <w14:schemeClr w14:val="tx1"/>
            </w14:solidFill>
          </w14:textFill>
        </w:rPr>
        <w:t>.2电池容量</w:t>
      </w:r>
    </w:p>
    <w:p w14:paraId="6D56BD23">
      <w:pPr>
        <w:ind w:firstLine="420" w:firstLineChars="200"/>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green"/>
          <w14:textFill>
            <w14:solidFill>
              <w14:schemeClr w14:val="tx1"/>
            </w14:solidFill>
          </w14:textFill>
        </w:rPr>
        <w:t>使用电池供电时，电池容量应能保证电子锁连续正常启、闭3000次以上。</w:t>
      </w:r>
    </w:p>
    <w:p w14:paraId="36705C98">
      <w:pPr>
        <w:rPr>
          <w:rFonts w:ascii="仿宋" w:hAnsi="仿宋" w:eastAsia="仿宋"/>
          <w:color w:val="000000" w:themeColor="text1"/>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t>6.6</w:t>
      </w:r>
      <w:r>
        <w:rPr>
          <w:rFonts w:hint="eastAsia" w:ascii="仿宋" w:hAnsi="仿宋" w:eastAsia="仿宋"/>
          <w:color w:val="000000" w:themeColor="text1"/>
          <w:highlight w:val="none"/>
          <w14:textFill>
            <w14:solidFill>
              <w14:schemeClr w14:val="tx1"/>
            </w14:solidFill>
          </w14:textFill>
        </w:rPr>
        <w:t>.3欠压指示</w:t>
      </w:r>
    </w:p>
    <w:p w14:paraId="5C0D2215">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6</w:t>
      </w:r>
      <w:r>
        <w:rPr>
          <w:rFonts w:ascii="仿宋" w:hAnsi="仿宋" w:eastAsia="仿宋"/>
          <w:color w:val="000000" w:themeColor="text1"/>
          <w:highlight w:val="none"/>
          <w14:textFill>
            <w14:solidFill>
              <w14:schemeClr w14:val="tx1"/>
            </w14:solidFill>
          </w14:textFill>
        </w:rPr>
        <w:t xml:space="preserve">.6.3.1 </w:t>
      </w:r>
      <w:r>
        <w:rPr>
          <w:rFonts w:hint="eastAsia" w:ascii="仿宋" w:hAnsi="仿宋" w:eastAsia="仿宋"/>
          <w:color w:val="000000" w:themeColor="text1"/>
          <w:highlight w:val="none"/>
          <w14:textFill>
            <w14:solidFill>
              <w14:schemeClr w14:val="tx1"/>
            </w14:solidFill>
          </w14:textFill>
        </w:rPr>
        <w:t>设定欠压值</w:t>
      </w:r>
      <w:r>
        <w:rPr>
          <w:rFonts w:hint="eastAsia" w:ascii="仿宋" w:hAnsi="仿宋" w:eastAsia="仿宋"/>
          <w:color w:val="000000" w:themeColor="text1"/>
          <w:highlight w:val="none"/>
          <w:lang w:val="en-US" w:eastAsia="zh-CN"/>
          <w14:textFill>
            <w14:solidFill>
              <w14:schemeClr w14:val="tx1"/>
            </w14:solidFill>
          </w14:textFill>
        </w:rPr>
        <w:t>≤</w:t>
      </w:r>
      <w:r>
        <w:rPr>
          <w:rFonts w:ascii="仿宋" w:hAnsi="仿宋" w:eastAsia="仿宋"/>
          <w:color w:val="000000" w:themeColor="text1"/>
          <w:highlight w:val="none"/>
          <w14:textFill>
            <w14:solidFill>
              <w14:schemeClr w14:val="tx1"/>
            </w14:solidFill>
          </w14:textFill>
        </w:rPr>
        <w:t>80%</w:t>
      </w:r>
      <w:r>
        <w:rPr>
          <w:rFonts w:hint="eastAsia" w:ascii="仿宋" w:hAnsi="仿宋" w:eastAsia="仿宋"/>
          <w:color w:val="000000" w:themeColor="text1"/>
          <w:highlight w:val="none"/>
          <w14:textFill>
            <w14:solidFill>
              <w14:schemeClr w14:val="tx1"/>
            </w14:solidFill>
          </w14:textFill>
        </w:rPr>
        <w:t>时，电子锁应能给出欠压指示，给出欠压指示后的电子锁应还能正常启、闭不少于</w:t>
      </w:r>
      <w:r>
        <w:rPr>
          <w:rFonts w:hint="eastAsia" w:ascii="仿宋" w:hAnsi="仿宋" w:eastAsia="仿宋"/>
          <w:color w:val="000000" w:themeColor="text1"/>
          <w:highlight w:val="none"/>
          <w:lang w:val="en-US" w:eastAsia="zh-CN"/>
          <w14:textFill>
            <w14:solidFill>
              <w14:schemeClr w14:val="tx1"/>
            </w14:solidFill>
          </w14:textFill>
        </w:rPr>
        <w:t>200</w:t>
      </w:r>
      <w:r>
        <w:rPr>
          <w:rFonts w:hint="eastAsia" w:ascii="仿宋" w:hAnsi="仿宋" w:eastAsia="仿宋"/>
          <w:color w:val="000000" w:themeColor="text1"/>
          <w:highlight w:val="none"/>
          <w14:textFill>
            <w14:solidFill>
              <w14:schemeClr w14:val="tx1"/>
            </w14:solidFill>
          </w14:textFill>
        </w:rPr>
        <w:t>次。</w:t>
      </w:r>
    </w:p>
    <w:p w14:paraId="6DA2ADE0">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6</w:t>
      </w:r>
      <w:r>
        <w:rPr>
          <w:rFonts w:ascii="仿宋" w:hAnsi="仿宋" w:eastAsia="仿宋"/>
          <w:color w:val="000000" w:themeColor="text1"/>
          <w14:textFill>
            <w14:solidFill>
              <w14:schemeClr w14:val="tx1"/>
            </w14:solidFill>
          </w14:textFill>
        </w:rPr>
        <w:t>.6.3.</w:t>
      </w:r>
      <w:r>
        <w:rPr>
          <w:rFonts w:hint="eastAsia" w:ascii="仿宋" w:hAnsi="仿宋" w:eastAsia="仿宋"/>
          <w:color w:val="000000" w:themeColor="text1"/>
          <w:lang w:val="en-US" w:eastAsia="zh-CN"/>
          <w14:textFill>
            <w14:solidFill>
              <w14:schemeClr w14:val="tx1"/>
            </w14:solidFill>
          </w14:textFill>
        </w:rPr>
        <w:t>2</w:t>
      </w:r>
      <w:r>
        <w:rPr>
          <w:rFonts w:ascii="仿宋" w:hAnsi="仿宋" w:eastAsia="仿宋"/>
          <w:color w:val="000000" w:themeColor="text1"/>
          <w14:textFill>
            <w14:solidFill>
              <w14:schemeClr w14:val="tx1"/>
            </w14:solidFill>
          </w14:textFill>
        </w:rPr>
        <w:t xml:space="preserve"> </w:t>
      </w:r>
      <w:r>
        <w:rPr>
          <w:rFonts w:hint="eastAsia" w:ascii="仿宋" w:hAnsi="仿宋" w:eastAsia="仿宋"/>
          <w:color w:val="000000" w:themeColor="text1"/>
          <w14:textFill>
            <w14:solidFill>
              <w14:schemeClr w14:val="tx1"/>
            </w14:solidFill>
          </w14:textFill>
        </w:rPr>
        <w:t>联网型电子锁应能将电池欠压信息上传至远程终端。</w:t>
      </w:r>
    </w:p>
    <w:p w14:paraId="7A15FBA6">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6.6</w:t>
      </w:r>
      <w:r>
        <w:rPr>
          <w:rFonts w:hint="eastAsia" w:ascii="仿宋" w:hAnsi="仿宋" w:eastAsia="仿宋"/>
          <w:color w:val="000000" w:themeColor="text1"/>
          <w14:textFill>
            <w14:solidFill>
              <w14:schemeClr w14:val="tx1"/>
            </w14:solidFill>
          </w14:textFill>
        </w:rPr>
        <w:t>.4电源电压适应范围</w:t>
      </w:r>
    </w:p>
    <w:p w14:paraId="6370EA0E">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电源电压在额定值得85%-110%范围内变化时，电子锁不需要作任何调整应能正常工作。</w:t>
      </w:r>
    </w:p>
    <w:p w14:paraId="0FE9D4FA">
      <w:pPr>
        <w:pStyle w:val="14"/>
        <w:rPr>
          <w:rFonts w:ascii="仿宋" w:hAnsi="仿宋"/>
          <w:color w:val="000000" w:themeColor="text1"/>
          <w14:textFill>
            <w14:solidFill>
              <w14:schemeClr w14:val="tx1"/>
            </w14:solidFill>
          </w14:textFill>
        </w:rPr>
      </w:pPr>
      <w:bookmarkStart w:id="33" w:name="_Toc100580752"/>
      <w:r>
        <w:rPr>
          <w:rFonts w:ascii="仿宋" w:hAnsi="仿宋"/>
          <w:color w:val="000000" w:themeColor="text1"/>
          <w14:textFill>
            <w14:solidFill>
              <w14:schemeClr w14:val="tx1"/>
            </w14:solidFill>
          </w14:textFill>
        </w:rPr>
        <w:t>6.7</w:t>
      </w:r>
      <w:r>
        <w:rPr>
          <w:rFonts w:hint="eastAsia" w:ascii="仿宋" w:hAnsi="仿宋"/>
          <w:color w:val="000000" w:themeColor="text1"/>
          <w14:textFill>
            <w14:solidFill>
              <w14:schemeClr w14:val="tx1"/>
            </w14:solidFill>
          </w14:textFill>
        </w:rPr>
        <w:t>环境适应性</w:t>
      </w:r>
      <w:bookmarkEnd w:id="33"/>
    </w:p>
    <w:p w14:paraId="5C6FF3E5">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6.7</w:t>
      </w:r>
      <w:r>
        <w:rPr>
          <w:rFonts w:hint="eastAsia" w:ascii="仿宋" w:hAnsi="仿宋" w:eastAsia="仿宋"/>
          <w:color w:val="000000" w:themeColor="text1"/>
          <w14:textFill>
            <w14:solidFill>
              <w14:schemeClr w14:val="tx1"/>
            </w14:solidFill>
          </w14:textFill>
        </w:rPr>
        <w:t>.1气候环境适应性</w:t>
      </w:r>
    </w:p>
    <w:p w14:paraId="448705B9">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按下表的规定对电子锁进行气候环境适应性试验，试验过程中不应发生状态改变，试验后应能正常工作，盐雾试验后电子锁的金属部件表面不应有锈蚀。</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
        <w:gridCol w:w="3293"/>
        <w:gridCol w:w="1907"/>
        <w:gridCol w:w="2041"/>
      </w:tblGrid>
      <w:tr w14:paraId="07D04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vAlign w:val="center"/>
          </w:tcPr>
          <w:p w14:paraId="1AA08416">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项目</w:t>
            </w:r>
          </w:p>
        </w:tc>
        <w:tc>
          <w:tcPr>
            <w:tcW w:w="3293" w:type="dxa"/>
            <w:vAlign w:val="center"/>
          </w:tcPr>
          <w:p w14:paraId="2195BEA3">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试验条件</w:t>
            </w:r>
          </w:p>
        </w:tc>
        <w:tc>
          <w:tcPr>
            <w:tcW w:w="1907" w:type="dxa"/>
            <w:vAlign w:val="center"/>
          </w:tcPr>
          <w:p w14:paraId="67F79BDD">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持续时间</w:t>
            </w:r>
          </w:p>
        </w:tc>
        <w:tc>
          <w:tcPr>
            <w:tcW w:w="2041" w:type="dxa"/>
            <w:vAlign w:val="center"/>
          </w:tcPr>
          <w:p w14:paraId="7FB7B2D3">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状态</w:t>
            </w:r>
          </w:p>
        </w:tc>
      </w:tr>
      <w:tr w14:paraId="5BD2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vAlign w:val="center"/>
          </w:tcPr>
          <w:p w14:paraId="7F267481">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高温</w:t>
            </w:r>
          </w:p>
        </w:tc>
        <w:tc>
          <w:tcPr>
            <w:tcW w:w="3293" w:type="dxa"/>
            <w:vAlign w:val="center"/>
          </w:tcPr>
          <w:p w14:paraId="095531E2">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温度：70℃±2℃</w:t>
            </w:r>
          </w:p>
        </w:tc>
        <w:tc>
          <w:tcPr>
            <w:tcW w:w="1907" w:type="dxa"/>
            <w:vAlign w:val="center"/>
          </w:tcPr>
          <w:p w14:paraId="08B46898">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4h</w:t>
            </w:r>
          </w:p>
        </w:tc>
        <w:tc>
          <w:tcPr>
            <w:tcW w:w="2041" w:type="dxa"/>
            <w:vAlign w:val="center"/>
          </w:tcPr>
          <w:p w14:paraId="2063D95F">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工作状态</w:t>
            </w:r>
          </w:p>
        </w:tc>
      </w:tr>
      <w:tr w14:paraId="5F63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vAlign w:val="center"/>
          </w:tcPr>
          <w:p w14:paraId="733CF7AF">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低温</w:t>
            </w:r>
          </w:p>
        </w:tc>
        <w:tc>
          <w:tcPr>
            <w:tcW w:w="3293" w:type="dxa"/>
            <w:vAlign w:val="center"/>
          </w:tcPr>
          <w:p w14:paraId="6FADB5DF">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温度：-25℃±3℃</w:t>
            </w:r>
          </w:p>
        </w:tc>
        <w:tc>
          <w:tcPr>
            <w:tcW w:w="1907" w:type="dxa"/>
            <w:vAlign w:val="center"/>
          </w:tcPr>
          <w:p w14:paraId="12DC53D1">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4h</w:t>
            </w:r>
          </w:p>
        </w:tc>
        <w:tc>
          <w:tcPr>
            <w:tcW w:w="2041" w:type="dxa"/>
            <w:vAlign w:val="center"/>
          </w:tcPr>
          <w:p w14:paraId="6DEE0237">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工作状态</w:t>
            </w:r>
          </w:p>
        </w:tc>
      </w:tr>
      <w:tr w14:paraId="0D4F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1" w:type="dxa"/>
            <w:vAlign w:val="center"/>
          </w:tcPr>
          <w:p w14:paraId="3F410485">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恒定湿热</w:t>
            </w:r>
          </w:p>
        </w:tc>
        <w:tc>
          <w:tcPr>
            <w:tcW w:w="3293" w:type="dxa"/>
            <w:vAlign w:val="center"/>
          </w:tcPr>
          <w:p w14:paraId="7BE33FF3">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温度；40℃±2℃</w:t>
            </w:r>
            <w:r>
              <w:rPr>
                <w:rFonts w:hint="eastAsia" w:ascii="仿宋" w:hAnsi="仿宋" w:eastAsia="仿宋"/>
                <w:color w:val="000000" w:themeColor="text1"/>
                <w:sz w:val="18"/>
                <w:szCs w:val="18"/>
                <w14:textFill>
                  <w14:solidFill>
                    <w14:schemeClr w14:val="tx1"/>
                  </w14:solidFill>
                </w14:textFill>
              </w:rPr>
              <w:br w:type="textWrapping"/>
            </w:r>
            <w:r>
              <w:rPr>
                <w:rFonts w:hint="eastAsia" w:ascii="仿宋" w:hAnsi="仿宋" w:eastAsia="仿宋"/>
                <w:color w:val="000000" w:themeColor="text1"/>
                <w:sz w:val="18"/>
                <w:szCs w:val="18"/>
                <w14:textFill>
                  <w14:solidFill>
                    <w14:schemeClr w14:val="tx1"/>
                  </w14:solidFill>
                </w14:textFill>
              </w:rPr>
              <w:t>相对湿度；93%±3%</w:t>
            </w:r>
          </w:p>
        </w:tc>
        <w:tc>
          <w:tcPr>
            <w:tcW w:w="1907" w:type="dxa"/>
            <w:vAlign w:val="center"/>
          </w:tcPr>
          <w:p w14:paraId="7A539B4E">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48h</w:t>
            </w:r>
          </w:p>
        </w:tc>
        <w:tc>
          <w:tcPr>
            <w:tcW w:w="2041" w:type="dxa"/>
            <w:vAlign w:val="center"/>
          </w:tcPr>
          <w:p w14:paraId="704F05B8">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工作状态</w:t>
            </w:r>
          </w:p>
        </w:tc>
      </w:tr>
      <w:tr w14:paraId="63598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jc w:val="center"/>
        </w:trPr>
        <w:tc>
          <w:tcPr>
            <w:tcW w:w="1281" w:type="dxa"/>
            <w:vAlign w:val="center"/>
          </w:tcPr>
          <w:p w14:paraId="782F5E24">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盐雾</w:t>
            </w:r>
          </w:p>
        </w:tc>
        <w:tc>
          <w:tcPr>
            <w:tcW w:w="3293" w:type="dxa"/>
            <w:vAlign w:val="center"/>
          </w:tcPr>
          <w:p w14:paraId="447AFD6D">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盐溶液溶度；5%±0.1%</w:t>
            </w:r>
            <w:r>
              <w:rPr>
                <w:rFonts w:hint="eastAsia" w:ascii="仿宋" w:hAnsi="仿宋" w:eastAsia="仿宋"/>
                <w:color w:val="000000" w:themeColor="text1"/>
                <w:sz w:val="18"/>
                <w:szCs w:val="18"/>
                <w14:textFill>
                  <w14:solidFill>
                    <w14:schemeClr w14:val="tx1"/>
                  </w14:solidFill>
                </w14:textFill>
              </w:rPr>
              <w:br w:type="textWrapping"/>
            </w:r>
            <w:r>
              <w:rPr>
                <w:rFonts w:hint="eastAsia" w:ascii="仿宋" w:hAnsi="仿宋" w:eastAsia="仿宋"/>
                <w:color w:val="000000" w:themeColor="text1"/>
                <w:sz w:val="18"/>
                <w:szCs w:val="18"/>
                <w14:textFill>
                  <w14:solidFill>
                    <w14:schemeClr w14:val="tx1"/>
                  </w14:solidFill>
                </w14:textFill>
              </w:rPr>
              <w:t>湿度；35℃±2℃</w:t>
            </w:r>
          </w:p>
          <w:p w14:paraId="6D96A835">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喷雾时间；每隔45min喷雾15min</w:t>
            </w:r>
          </w:p>
          <w:p w14:paraId="770E9761">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盐雾沉降量；1.0ml/(h</w:t>
            </w:r>
            <w:r>
              <w:rPr>
                <w:rFonts w:hint="eastAsia" w:ascii="仿宋" w:hAnsi="仿宋" w:eastAsia="仿宋" w:cs="微软雅黑"/>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80cm</w:t>
            </w:r>
            <w:r>
              <w:rPr>
                <w:rFonts w:hint="eastAsia" w:ascii="仿宋" w:hAnsi="仿宋" w:eastAsia="仿宋"/>
                <w:color w:val="000000" w:themeColor="text1"/>
                <w:sz w:val="18"/>
                <w:szCs w:val="18"/>
                <w:vertAlign w:val="superscript"/>
                <w14:textFill>
                  <w14:solidFill>
                    <w14:schemeClr w14:val="tx1"/>
                  </w14:solidFill>
                </w14:textFill>
              </w:rPr>
              <w:t>2</w:t>
            </w:r>
            <w:r>
              <w:rPr>
                <w:rFonts w:hint="eastAsia" w:ascii="仿宋" w:hAnsi="仿宋" w:eastAsia="仿宋"/>
                <w:color w:val="000000" w:themeColor="text1"/>
                <w:sz w:val="18"/>
                <w:szCs w:val="18"/>
                <w14:textFill>
                  <w14:solidFill>
                    <w14:schemeClr w14:val="tx1"/>
                  </w14:solidFill>
                </w14:textFill>
              </w:rPr>
              <w:t>)</w:t>
            </w:r>
            <w:r>
              <w:rPr>
                <w:rFonts w:hint="eastAsia" w:ascii="仿宋" w:hAnsi="仿宋" w:eastAsia="仿宋" w:cs="楷体"/>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2.0ml/(h</w:t>
            </w:r>
            <w:r>
              <w:rPr>
                <w:rFonts w:hint="eastAsia" w:ascii="仿宋" w:hAnsi="仿宋" w:eastAsia="仿宋" w:cs="微软雅黑"/>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80cm</w:t>
            </w:r>
            <w:r>
              <w:rPr>
                <w:rFonts w:hint="eastAsia" w:ascii="仿宋" w:hAnsi="仿宋" w:eastAsia="仿宋"/>
                <w:color w:val="000000" w:themeColor="text1"/>
                <w:sz w:val="18"/>
                <w:szCs w:val="18"/>
                <w:vertAlign w:val="superscript"/>
                <w14:textFill>
                  <w14:solidFill>
                    <w14:schemeClr w14:val="tx1"/>
                  </w14:solidFill>
                </w14:textFill>
              </w:rPr>
              <w:t>2</w:t>
            </w:r>
            <w:r>
              <w:rPr>
                <w:rFonts w:hint="eastAsia" w:ascii="仿宋" w:hAnsi="仿宋" w:eastAsia="仿宋"/>
                <w:color w:val="000000" w:themeColor="text1"/>
                <w:sz w:val="18"/>
                <w:szCs w:val="18"/>
                <w14:textFill>
                  <w14:solidFill>
                    <w14:schemeClr w14:val="tx1"/>
                  </w14:solidFill>
                </w14:textFill>
              </w:rPr>
              <w:t>)</w:t>
            </w:r>
          </w:p>
        </w:tc>
        <w:tc>
          <w:tcPr>
            <w:tcW w:w="1907" w:type="dxa"/>
            <w:vAlign w:val="center"/>
          </w:tcPr>
          <w:p w14:paraId="2946645C">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96h</w:t>
            </w:r>
          </w:p>
        </w:tc>
        <w:tc>
          <w:tcPr>
            <w:tcW w:w="2041" w:type="dxa"/>
            <w:vAlign w:val="center"/>
          </w:tcPr>
          <w:p w14:paraId="73A16AB8">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非工作状态</w:t>
            </w:r>
          </w:p>
        </w:tc>
      </w:tr>
    </w:tbl>
    <w:p w14:paraId="4E29A6A2">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6.7</w:t>
      </w:r>
      <w:r>
        <w:rPr>
          <w:rFonts w:hint="eastAsia" w:ascii="仿宋" w:hAnsi="仿宋" w:eastAsia="仿宋"/>
          <w:color w:val="000000" w:themeColor="text1"/>
          <w14:textFill>
            <w14:solidFill>
              <w14:schemeClr w14:val="tx1"/>
            </w14:solidFill>
          </w14:textFill>
        </w:rPr>
        <w:t>.2机械环境适应性</w:t>
      </w:r>
    </w:p>
    <w:p w14:paraId="27A7E8BB">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按下表的规定对电子锁进行机械环境适应性试验，试验前电子锁处于正常锁闭状态，试验后不应出现开启现象且应能正常工作，锁内各机械零件、部件无松动，外壳无变形和损坏。</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5267"/>
        <w:gridCol w:w="2001"/>
      </w:tblGrid>
      <w:tr w14:paraId="6AF72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vAlign w:val="center"/>
          </w:tcPr>
          <w:p w14:paraId="53A7C3B7">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项目</w:t>
            </w:r>
          </w:p>
        </w:tc>
        <w:tc>
          <w:tcPr>
            <w:tcW w:w="5267" w:type="dxa"/>
            <w:vAlign w:val="center"/>
          </w:tcPr>
          <w:p w14:paraId="1DF8326F">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试验条件</w:t>
            </w:r>
          </w:p>
        </w:tc>
        <w:tc>
          <w:tcPr>
            <w:tcW w:w="2001" w:type="dxa"/>
            <w:vAlign w:val="center"/>
          </w:tcPr>
          <w:p w14:paraId="4E9E0BC1">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状态</w:t>
            </w:r>
          </w:p>
        </w:tc>
      </w:tr>
      <w:tr w14:paraId="1B72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vAlign w:val="center"/>
          </w:tcPr>
          <w:p w14:paraId="240034EC">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正弦振动</w:t>
            </w:r>
          </w:p>
        </w:tc>
        <w:tc>
          <w:tcPr>
            <w:tcW w:w="5267" w:type="dxa"/>
            <w:vAlign w:val="center"/>
          </w:tcPr>
          <w:p w14:paraId="27174CA5">
            <w:pPr>
              <w:jc w:val="center"/>
              <w:rPr>
                <w:rFonts w:ascii="仿宋" w:hAnsi="仿宋" w:eastAsia="仿宋" w:cs="楷体"/>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频率范围；10Hz</w:t>
            </w:r>
            <w:r>
              <w:rPr>
                <w:rFonts w:hint="eastAsia" w:ascii="仿宋" w:hAnsi="仿宋" w:eastAsia="仿宋" w:cs="楷体"/>
                <w:color w:val="000000" w:themeColor="text1"/>
                <w:sz w:val="18"/>
                <w:szCs w:val="18"/>
                <w14:textFill>
                  <w14:solidFill>
                    <w14:schemeClr w14:val="tx1"/>
                  </w14:solidFill>
                </w14:textFill>
              </w:rPr>
              <w:t>～150Hz</w:t>
            </w:r>
          </w:p>
          <w:p w14:paraId="1217EC4F">
            <w:pPr>
              <w:jc w:val="center"/>
              <w:rPr>
                <w:rFonts w:ascii="仿宋" w:hAnsi="仿宋" w:eastAsia="仿宋" w:cs="楷体"/>
                <w:color w:val="000000" w:themeColor="text1"/>
                <w:sz w:val="18"/>
                <w:szCs w:val="18"/>
                <w:vertAlign w:val="superscript"/>
                <w14:textFill>
                  <w14:solidFill>
                    <w14:schemeClr w14:val="tx1"/>
                  </w14:solidFill>
                </w14:textFill>
              </w:rPr>
            </w:pPr>
            <w:r>
              <w:rPr>
                <w:rFonts w:hint="eastAsia" w:ascii="仿宋" w:hAnsi="仿宋" w:eastAsia="仿宋" w:cs="楷体"/>
                <w:color w:val="000000" w:themeColor="text1"/>
                <w:sz w:val="18"/>
                <w:szCs w:val="18"/>
                <w14:textFill>
                  <w14:solidFill>
                    <w14:schemeClr w14:val="tx1"/>
                  </w14:solidFill>
                </w14:textFill>
              </w:rPr>
              <w:t>加速度；5m/S</w:t>
            </w:r>
            <w:r>
              <w:rPr>
                <w:rFonts w:hint="eastAsia" w:ascii="仿宋" w:hAnsi="仿宋" w:eastAsia="仿宋" w:cs="楷体"/>
                <w:color w:val="000000" w:themeColor="text1"/>
                <w:sz w:val="18"/>
                <w:szCs w:val="18"/>
                <w:vertAlign w:val="superscript"/>
                <w14:textFill>
                  <w14:solidFill>
                    <w14:schemeClr w14:val="tx1"/>
                  </w14:solidFill>
                </w14:textFill>
              </w:rPr>
              <w:t>2</w:t>
            </w:r>
          </w:p>
          <w:p w14:paraId="52446B2B">
            <w:pPr>
              <w:jc w:val="center"/>
              <w:rPr>
                <w:rFonts w:ascii="仿宋" w:hAnsi="仿宋" w:eastAsia="仿宋" w:cs="楷体"/>
                <w:color w:val="000000" w:themeColor="text1"/>
                <w:sz w:val="18"/>
                <w:szCs w:val="18"/>
                <w14:textFill>
                  <w14:solidFill>
                    <w14:schemeClr w14:val="tx1"/>
                  </w14:solidFill>
                </w14:textFill>
              </w:rPr>
            </w:pPr>
            <w:r>
              <w:rPr>
                <w:rFonts w:hint="eastAsia" w:ascii="仿宋" w:hAnsi="仿宋" w:eastAsia="仿宋" w:cs="楷体"/>
                <w:color w:val="000000" w:themeColor="text1"/>
                <w:sz w:val="18"/>
                <w:szCs w:val="18"/>
                <w14:textFill>
                  <w14:solidFill>
                    <w14:schemeClr w14:val="tx1"/>
                  </w14:solidFill>
                </w14:textFill>
              </w:rPr>
              <w:t>振动方向；X、Y、Z三个轴向</w:t>
            </w:r>
          </w:p>
          <w:p w14:paraId="0C43E650">
            <w:pPr>
              <w:jc w:val="center"/>
              <w:rPr>
                <w:rFonts w:ascii="仿宋" w:hAnsi="仿宋" w:eastAsia="仿宋" w:cs="楷体"/>
                <w:color w:val="000000" w:themeColor="text1"/>
                <w:sz w:val="18"/>
                <w:szCs w:val="18"/>
                <w14:textFill>
                  <w14:solidFill>
                    <w14:schemeClr w14:val="tx1"/>
                  </w14:solidFill>
                </w14:textFill>
              </w:rPr>
            </w:pPr>
            <w:r>
              <w:rPr>
                <w:rFonts w:hint="eastAsia" w:ascii="仿宋" w:hAnsi="仿宋" w:eastAsia="仿宋" w:cs="楷体"/>
                <w:color w:val="000000" w:themeColor="text1"/>
                <w:sz w:val="18"/>
                <w:szCs w:val="18"/>
                <w14:textFill>
                  <w14:solidFill>
                    <w14:schemeClr w14:val="tx1"/>
                  </w14:solidFill>
                </w14:textFill>
              </w:rPr>
              <w:t>扫频速率；1oct/min</w:t>
            </w:r>
          </w:p>
          <w:p w14:paraId="1B9AEFA3">
            <w:pPr>
              <w:jc w:val="center"/>
              <w:rPr>
                <w:rFonts w:ascii="仿宋" w:hAnsi="仿宋" w:eastAsia="仿宋" w:cs="楷体"/>
                <w:color w:val="000000" w:themeColor="text1"/>
                <w:sz w:val="18"/>
                <w:szCs w:val="18"/>
                <w14:textFill>
                  <w14:solidFill>
                    <w14:schemeClr w14:val="tx1"/>
                  </w14:solidFill>
                </w14:textFill>
              </w:rPr>
            </w:pPr>
            <w:r>
              <w:rPr>
                <w:rFonts w:hint="eastAsia" w:ascii="仿宋" w:hAnsi="仿宋" w:eastAsia="仿宋" w:cs="楷体"/>
                <w:color w:val="000000" w:themeColor="text1"/>
                <w:sz w:val="18"/>
                <w:szCs w:val="18"/>
                <w14:textFill>
                  <w14:solidFill>
                    <w14:schemeClr w14:val="tx1"/>
                  </w14:solidFill>
                </w14:textFill>
              </w:rPr>
              <w:t>扫频周期的数目；1</w:t>
            </w:r>
          </w:p>
        </w:tc>
        <w:tc>
          <w:tcPr>
            <w:tcW w:w="2001" w:type="dxa"/>
            <w:vAlign w:val="center"/>
          </w:tcPr>
          <w:p w14:paraId="45B4265F">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工作状态</w:t>
            </w:r>
          </w:p>
        </w:tc>
      </w:tr>
      <w:tr w14:paraId="33751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vAlign w:val="center"/>
          </w:tcPr>
          <w:p w14:paraId="77E83EF8">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冲击</w:t>
            </w:r>
          </w:p>
        </w:tc>
        <w:tc>
          <w:tcPr>
            <w:tcW w:w="5267" w:type="dxa"/>
            <w:vAlign w:val="center"/>
          </w:tcPr>
          <w:p w14:paraId="19DDBEDC">
            <w:pPr>
              <w:jc w:val="center"/>
              <w:rPr>
                <w:rFonts w:ascii="仿宋" w:hAnsi="仿宋" w:eastAsia="仿宋" w:cs="楷体"/>
                <w:color w:val="000000" w:themeColor="text1"/>
                <w:sz w:val="18"/>
                <w:szCs w:val="18"/>
                <w:vertAlign w:val="superscript"/>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加速度；1</w:t>
            </w:r>
            <w:r>
              <w:rPr>
                <w:rFonts w:hint="eastAsia" w:ascii="仿宋" w:hAnsi="仿宋" w:eastAsia="仿宋" w:cs="楷体"/>
                <w:color w:val="000000" w:themeColor="text1"/>
                <w:sz w:val="18"/>
                <w:szCs w:val="18"/>
                <w14:textFill>
                  <w14:solidFill>
                    <w14:schemeClr w14:val="tx1"/>
                  </w14:solidFill>
                </w14:textFill>
              </w:rPr>
              <w:t>50m/S</w:t>
            </w:r>
            <w:r>
              <w:rPr>
                <w:rFonts w:hint="eastAsia" w:ascii="仿宋" w:hAnsi="仿宋" w:eastAsia="仿宋" w:cs="楷体"/>
                <w:color w:val="000000" w:themeColor="text1"/>
                <w:sz w:val="18"/>
                <w:szCs w:val="18"/>
                <w:vertAlign w:val="superscript"/>
                <w14:textFill>
                  <w14:solidFill>
                    <w14:schemeClr w14:val="tx1"/>
                  </w14:solidFill>
                </w14:textFill>
              </w:rPr>
              <w:t>2</w:t>
            </w:r>
          </w:p>
          <w:p w14:paraId="106D1D1E">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脉冲持续时间；11ms</w:t>
            </w:r>
          </w:p>
          <w:p w14:paraId="1A10FABE">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冲击脉冲波形；半正弦</w:t>
            </w:r>
          </w:p>
          <w:p w14:paraId="727DEF71">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冲击轴向数；6</w:t>
            </w:r>
          </w:p>
          <w:p w14:paraId="1EF8C097">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每轴向上的脉冲次数；3</w:t>
            </w:r>
          </w:p>
        </w:tc>
        <w:tc>
          <w:tcPr>
            <w:tcW w:w="2001" w:type="dxa"/>
            <w:vAlign w:val="center"/>
          </w:tcPr>
          <w:p w14:paraId="1E9149E4">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工作状态</w:t>
            </w:r>
          </w:p>
        </w:tc>
      </w:tr>
      <w:tr w14:paraId="606BD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vAlign w:val="center"/>
          </w:tcPr>
          <w:p w14:paraId="6C96CD7D">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自由跌落</w:t>
            </w:r>
          </w:p>
        </w:tc>
        <w:tc>
          <w:tcPr>
            <w:tcW w:w="5267" w:type="dxa"/>
            <w:vAlign w:val="center"/>
          </w:tcPr>
          <w:p w14:paraId="07A99A8D">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跌落高度；1m</w:t>
            </w:r>
          </w:p>
          <w:p w14:paraId="43B2B6C4">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几何面数；6</w:t>
            </w:r>
          </w:p>
          <w:p w14:paraId="6A7DC939">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各个面跌落次数；1次</w:t>
            </w:r>
          </w:p>
          <w:p w14:paraId="3B190B8C">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是否带包装；是</w:t>
            </w:r>
          </w:p>
        </w:tc>
        <w:tc>
          <w:tcPr>
            <w:tcW w:w="2001" w:type="dxa"/>
            <w:vAlign w:val="center"/>
          </w:tcPr>
          <w:p w14:paraId="2D3547CD">
            <w:pPr>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非工作状态</w:t>
            </w:r>
          </w:p>
        </w:tc>
      </w:tr>
    </w:tbl>
    <w:p w14:paraId="6B4F8985">
      <w:pPr>
        <w:pStyle w:val="14"/>
        <w:rPr>
          <w:rFonts w:ascii="仿宋" w:hAnsi="仿宋"/>
          <w:color w:val="auto"/>
        </w:rPr>
      </w:pPr>
      <w:bookmarkStart w:id="34" w:name="_Toc100580753"/>
      <w:r>
        <w:rPr>
          <w:rFonts w:ascii="仿宋" w:hAnsi="仿宋"/>
          <w:color w:val="auto"/>
        </w:rPr>
        <w:t>6.8</w:t>
      </w:r>
      <w:r>
        <w:rPr>
          <w:rFonts w:hint="eastAsia" w:ascii="仿宋" w:hAnsi="仿宋"/>
          <w:color w:val="auto"/>
        </w:rPr>
        <w:t>电磁兼容</w:t>
      </w:r>
      <w:bookmarkEnd w:id="34"/>
    </w:p>
    <w:p w14:paraId="16D57A65">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6.8</w:t>
      </w:r>
      <w:r>
        <w:rPr>
          <w:rFonts w:hint="eastAsia" w:ascii="仿宋" w:hAnsi="仿宋" w:eastAsia="仿宋"/>
          <w:color w:val="000000" w:themeColor="text1"/>
          <w14:textFill>
            <w14:solidFill>
              <w14:schemeClr w14:val="tx1"/>
            </w14:solidFill>
          </w14:textFill>
        </w:rPr>
        <w:t>.1静电放电抗扰度</w:t>
      </w:r>
    </w:p>
    <w:p w14:paraId="4CF29D3B">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静电放电抗扰度限值应符合GB/T17626.2-2006中试验等级4的规定，试验中电子锁不应有误动作，试验后应能正常工作。</w:t>
      </w:r>
    </w:p>
    <w:p w14:paraId="78FFE33D">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6.8</w:t>
      </w:r>
      <w:r>
        <w:rPr>
          <w:rFonts w:hint="eastAsia" w:ascii="仿宋" w:hAnsi="仿宋" w:eastAsia="仿宋"/>
          <w:color w:val="000000" w:themeColor="text1"/>
          <w14:textFill>
            <w14:solidFill>
              <w14:schemeClr w14:val="tx1"/>
            </w14:solidFill>
          </w14:textFill>
        </w:rPr>
        <w:t>.2射频电磁场辐射抗扰度</w:t>
      </w:r>
    </w:p>
    <w:p w14:paraId="73A93D4D">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射频电磁场辐射抗扰度限值应符合GB/T17626.3-2016中试验等级3的规定，试验中电子锁不应有误动作，试验后应能正常工作，且试验后数字钥匙不应出现数据变化或失效。</w:t>
      </w:r>
    </w:p>
    <w:p w14:paraId="79AF6C88">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6.8</w:t>
      </w:r>
      <w:r>
        <w:rPr>
          <w:rFonts w:hint="eastAsia" w:ascii="仿宋" w:hAnsi="仿宋" w:eastAsia="仿宋"/>
          <w:color w:val="000000" w:themeColor="text1"/>
          <w14:textFill>
            <w14:solidFill>
              <w14:schemeClr w14:val="tx1"/>
            </w14:solidFill>
          </w14:textFill>
        </w:rPr>
        <w:t>.3电快速瞬变脉冲群抗扰度</w:t>
      </w:r>
    </w:p>
    <w:p w14:paraId="406DD3A6">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采用交流电网电源供电的电子锁、电快速瞬变脉冲群抗扰度应符合GB/T30148-2013中第12章的规定</w:t>
      </w:r>
    </w:p>
    <w:p w14:paraId="4A7B2267">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6.8</w:t>
      </w:r>
      <w:r>
        <w:rPr>
          <w:rFonts w:hint="eastAsia" w:ascii="仿宋" w:hAnsi="仿宋" w:eastAsia="仿宋"/>
          <w:color w:val="000000" w:themeColor="text1"/>
          <w14:textFill>
            <w14:solidFill>
              <w14:schemeClr w14:val="tx1"/>
            </w14:solidFill>
          </w14:textFill>
        </w:rPr>
        <w:t>.4电压暂降、短时中断抗扰度</w:t>
      </w:r>
    </w:p>
    <w:p w14:paraId="37BB0D12">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采用交流电网电源供电的电子锁，电压暂降、短时中断抗扰度应符合GB/T30148-2013中第8章的规定</w:t>
      </w:r>
    </w:p>
    <w:p w14:paraId="42DD51F9">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6.8</w:t>
      </w:r>
      <w:r>
        <w:rPr>
          <w:rFonts w:hint="eastAsia" w:ascii="仿宋" w:hAnsi="仿宋" w:eastAsia="仿宋"/>
          <w:color w:val="000000" w:themeColor="text1"/>
          <w14:textFill>
            <w14:solidFill>
              <w14:schemeClr w14:val="tx1"/>
            </w14:solidFill>
          </w14:textFill>
        </w:rPr>
        <w:t>.5浪涌（冲击）抗扰度</w:t>
      </w:r>
    </w:p>
    <w:p w14:paraId="3B61475D">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采用交流电网电源供电的电子锁，浪涌（冲击）抗扰度应符合GB/T30148-2013中第13章的规定</w:t>
      </w:r>
    </w:p>
    <w:p w14:paraId="54F64B84">
      <w:pPr>
        <w:pStyle w:val="16"/>
        <w:rPr>
          <w:rFonts w:ascii="仿宋" w:hAnsi="仿宋"/>
          <w:color w:val="000000" w:themeColor="text1"/>
          <w14:textFill>
            <w14:solidFill>
              <w14:schemeClr w14:val="tx1"/>
            </w14:solidFill>
          </w14:textFill>
        </w:rPr>
      </w:pPr>
      <w:bookmarkStart w:id="35" w:name="_Toc100580754"/>
      <w:r>
        <w:rPr>
          <w:rFonts w:hint="eastAsia" w:ascii="仿宋" w:hAnsi="仿宋"/>
          <w:color w:val="000000" w:themeColor="text1"/>
          <w14:textFill>
            <w14:solidFill>
              <w14:schemeClr w14:val="tx1"/>
            </w14:solidFill>
          </w14:textFill>
        </w:rPr>
        <w:t>七、电子锁安全性能要求</w:t>
      </w:r>
      <w:bookmarkEnd w:id="35"/>
    </w:p>
    <w:p w14:paraId="6A3F4FE3">
      <w:pPr>
        <w:pStyle w:val="14"/>
        <w:rPr>
          <w:rFonts w:ascii="仿宋" w:hAnsi="仿宋"/>
          <w:color w:val="000000" w:themeColor="text1"/>
          <w14:textFill>
            <w14:solidFill>
              <w14:schemeClr w14:val="tx1"/>
            </w14:solidFill>
          </w14:textFill>
        </w:rPr>
      </w:pPr>
      <w:bookmarkStart w:id="36" w:name="_Toc100580755"/>
      <w:r>
        <w:rPr>
          <w:rFonts w:ascii="仿宋" w:hAnsi="仿宋"/>
          <w:color w:val="000000" w:themeColor="text1"/>
          <w14:textFill>
            <w14:solidFill>
              <w14:schemeClr w14:val="tx1"/>
            </w14:solidFill>
          </w14:textFill>
        </w:rPr>
        <w:t>7.1</w:t>
      </w:r>
      <w:r>
        <w:rPr>
          <w:rFonts w:hint="eastAsia" w:ascii="仿宋" w:hAnsi="仿宋"/>
          <w:color w:val="000000" w:themeColor="text1"/>
          <w14:textFill>
            <w14:solidFill>
              <w14:schemeClr w14:val="tx1"/>
            </w14:solidFill>
          </w14:textFill>
        </w:rPr>
        <w:t>一般安全性</w:t>
      </w:r>
      <w:bookmarkEnd w:id="36"/>
    </w:p>
    <w:p w14:paraId="484612AD">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7.1</w:t>
      </w:r>
      <w:r>
        <w:rPr>
          <w:rFonts w:hint="eastAsia" w:ascii="仿宋" w:hAnsi="仿宋" w:eastAsia="仿宋"/>
          <w:color w:val="000000" w:themeColor="text1"/>
          <w14:textFill>
            <w14:solidFill>
              <w14:schemeClr w14:val="tx1"/>
            </w14:solidFill>
          </w14:textFill>
        </w:rPr>
        <w:t>.1抗电强度</w:t>
      </w:r>
    </w:p>
    <w:p w14:paraId="4B225C5F">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采用交流电网电源供电的电子锁的电源引入端子与外壳裸露金属部件之间的抗电强度应符合GB16796-2009中5.4.3的规定。</w:t>
      </w:r>
    </w:p>
    <w:p w14:paraId="2E5C05FE">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7.1</w:t>
      </w:r>
      <w:r>
        <w:rPr>
          <w:rFonts w:hint="eastAsia" w:ascii="仿宋" w:hAnsi="仿宋" w:eastAsia="仿宋"/>
          <w:color w:val="000000" w:themeColor="text1"/>
          <w14:textFill>
            <w14:solidFill>
              <w14:schemeClr w14:val="tx1"/>
            </w14:solidFill>
          </w14:textFill>
        </w:rPr>
        <w:t>.2绝缘电阻</w:t>
      </w:r>
    </w:p>
    <w:p w14:paraId="362DC7F6">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采用交流电网电源供电的电子锁的电源引入端子与外壳裸露金属部件之间的绝缘电子应符合GB16796-2009中5.4.4的规定。</w:t>
      </w:r>
    </w:p>
    <w:p w14:paraId="2468EB12">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7.1</w:t>
      </w:r>
      <w:r>
        <w:rPr>
          <w:rFonts w:hint="eastAsia" w:ascii="仿宋" w:hAnsi="仿宋" w:eastAsia="仿宋"/>
          <w:color w:val="000000" w:themeColor="text1"/>
          <w14:textFill>
            <w14:solidFill>
              <w14:schemeClr w14:val="tx1"/>
            </w14:solidFill>
          </w14:textFill>
        </w:rPr>
        <w:t>.3泄漏电流</w:t>
      </w:r>
    </w:p>
    <w:p w14:paraId="6124EB31">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采用交流电网电源供电的电子锁工作时的泄漏电流应符合GB16796-2009中5.4.6的规定。</w:t>
      </w:r>
    </w:p>
    <w:p w14:paraId="1DF4D827">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7.1</w:t>
      </w:r>
      <w:r>
        <w:rPr>
          <w:rFonts w:hint="eastAsia" w:ascii="仿宋" w:hAnsi="仿宋" w:eastAsia="仿宋"/>
          <w:color w:val="000000" w:themeColor="text1"/>
          <w14:textFill>
            <w14:solidFill>
              <w14:schemeClr w14:val="tx1"/>
            </w14:solidFill>
          </w14:textFill>
        </w:rPr>
        <w:t>.4阻燃</w:t>
      </w:r>
    </w:p>
    <w:p w14:paraId="77A6E6BD">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电子锁外壳的非金属部件的阻燃应符合GB16796-2009中5.6.3的规定。</w:t>
      </w:r>
    </w:p>
    <w:p w14:paraId="5877C584">
      <w:pPr>
        <w:pStyle w:val="14"/>
        <w:rPr>
          <w:rFonts w:ascii="仿宋" w:hAnsi="仿宋"/>
          <w:color w:val="000000" w:themeColor="text1"/>
          <w14:textFill>
            <w14:solidFill>
              <w14:schemeClr w14:val="tx1"/>
            </w14:solidFill>
          </w14:textFill>
        </w:rPr>
      </w:pPr>
      <w:bookmarkStart w:id="37" w:name="_Toc100580756"/>
      <w:r>
        <w:rPr>
          <w:rFonts w:hint="eastAsia" w:ascii="仿宋" w:hAnsi="仿宋"/>
          <w:color w:val="000000" w:themeColor="text1"/>
          <w14:textFill>
            <w14:solidFill>
              <w14:schemeClr w14:val="tx1"/>
            </w14:solidFill>
          </w14:textFill>
        </w:rPr>
        <w:t>7</w:t>
      </w:r>
      <w:r>
        <w:rPr>
          <w:rFonts w:ascii="仿宋" w:hAnsi="仿宋"/>
          <w:color w:val="000000" w:themeColor="text1"/>
          <w14:textFill>
            <w14:solidFill>
              <w14:schemeClr w14:val="tx1"/>
            </w14:solidFill>
          </w14:textFill>
        </w:rPr>
        <w:t>.1.5</w:t>
      </w:r>
      <w:r>
        <w:rPr>
          <w:rFonts w:hint="eastAsia" w:ascii="仿宋" w:hAnsi="仿宋"/>
          <w:color w:val="000000" w:themeColor="text1"/>
          <w14:textFill>
            <w14:solidFill>
              <w14:schemeClr w14:val="tx1"/>
            </w14:solidFill>
          </w14:textFill>
        </w:rPr>
        <w:t>电池极性反接</w:t>
      </w:r>
      <w:bookmarkEnd w:id="37"/>
    </w:p>
    <w:p w14:paraId="17D19D2F">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电池供电的电子锁，当电池极性反接时，应无着火和/或爆炸和/或化学泄露的危险，且试验后仍能正常工作。</w:t>
      </w:r>
    </w:p>
    <w:p w14:paraId="7BD6473F">
      <w:pPr>
        <w:pStyle w:val="14"/>
        <w:rPr>
          <w:rFonts w:ascii="仿宋" w:hAnsi="仿宋"/>
          <w:color w:val="000000" w:themeColor="text1"/>
          <w:highlight w:val="none"/>
          <w14:textFill>
            <w14:solidFill>
              <w14:schemeClr w14:val="tx1"/>
            </w14:solidFill>
          </w14:textFill>
        </w:rPr>
      </w:pPr>
      <w:bookmarkStart w:id="38" w:name="_Toc100580757"/>
      <w:r>
        <w:rPr>
          <w:rFonts w:ascii="仿宋" w:hAnsi="仿宋"/>
          <w:color w:val="000000" w:themeColor="text1"/>
          <w:highlight w:val="none"/>
          <w14:textFill>
            <w14:solidFill>
              <w14:schemeClr w14:val="tx1"/>
            </w14:solidFill>
          </w14:textFill>
        </w:rPr>
        <w:t>7.2</w:t>
      </w:r>
      <w:r>
        <w:rPr>
          <w:rFonts w:hint="eastAsia" w:ascii="仿宋" w:hAnsi="仿宋"/>
          <w:color w:val="000000" w:themeColor="text1"/>
          <w:highlight w:val="none"/>
          <w14:textFill>
            <w14:solidFill>
              <w14:schemeClr w14:val="tx1"/>
            </w14:solidFill>
          </w14:textFill>
        </w:rPr>
        <w:t>识别方式安全</w:t>
      </w:r>
      <w:bookmarkEnd w:id="38"/>
    </w:p>
    <w:p w14:paraId="1A0C21A0">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7.2</w:t>
      </w:r>
      <w:r>
        <w:rPr>
          <w:rFonts w:hint="eastAsia" w:ascii="仿宋" w:hAnsi="仿宋" w:eastAsia="仿宋"/>
          <w:color w:val="000000" w:themeColor="text1"/>
          <w14:textFill>
            <w14:solidFill>
              <w14:schemeClr w14:val="tx1"/>
            </w14:solidFill>
          </w14:textFill>
        </w:rPr>
        <w:t>.1信息识别卡安全</w:t>
      </w:r>
    </w:p>
    <w:p w14:paraId="76041679">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智能门锁信息识别卡鉴别信息须存储于信息识别卡加密区块，应采用口令或密码算法对信息识别卡鉴别信息数据区块进行访问控制，绑卡和认证操作需要对信息识别卡的鉴别信息数据区块进行读写和校验。</w:t>
      </w:r>
    </w:p>
    <w:p w14:paraId="4C648983">
      <w:pPr>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7.2</w:t>
      </w:r>
      <w:r>
        <w:rPr>
          <w:rFonts w:hint="eastAsia" w:ascii="仿宋" w:hAnsi="仿宋" w:eastAsia="仿宋"/>
          <w:color w:val="000000" w:themeColor="text1"/>
          <w14:textFill>
            <w14:solidFill>
              <w14:schemeClr w14:val="tx1"/>
            </w14:solidFill>
          </w14:textFill>
        </w:rPr>
        <w:t>.2指纹识别安全</w:t>
      </w:r>
    </w:p>
    <w:p w14:paraId="26DCDDA3">
      <w:pPr>
        <w:ind w:firstLine="420" w:firstLineChars="20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指纹识别安全应符合下列要求：</w:t>
      </w:r>
    </w:p>
    <w:p w14:paraId="30722264">
      <w:pPr>
        <w:numPr>
          <w:ilvl w:val="0"/>
          <w:numId w:val="3"/>
        </w:num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智能门锁应满足最新版本固件下，可以识别感应区域上方存在的异物和结构性破坏特征，并防止该类特征在使用过程中自学习至模板数据中，引起误识别。</w:t>
      </w:r>
    </w:p>
    <w:p w14:paraId="53AF6B27">
      <w:pPr>
        <w:numPr>
          <w:ilvl w:val="0"/>
          <w:numId w:val="3"/>
        </w:num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智能门锁应能识别指纹识别模块的移除或替换，并防止模块替换引起的非法开启。</w:t>
      </w:r>
    </w:p>
    <w:p w14:paraId="46F3A61F">
      <w:pPr>
        <w:numPr>
          <w:ilvl w:val="0"/>
          <w:numId w:val="3"/>
        </w:num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指纹识别认假率及拒真率应满足下表要求：</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6"/>
        <w:gridCol w:w="5256"/>
      </w:tblGrid>
      <w:tr w14:paraId="07829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6" w:type="dxa"/>
          </w:tcPr>
          <w:p w14:paraId="32C9D564">
            <w:pPr>
              <w:jc w:val="center"/>
              <w:rPr>
                <w:rFonts w:ascii="仿宋" w:hAnsi="仿宋" w:eastAsia="仿宋"/>
                <w:color w:val="000000" w:themeColor="text1"/>
                <w:sz w:val="18"/>
                <w:szCs w:val="18"/>
                <w:highlight w:val="none"/>
                <w14:textFill>
                  <w14:solidFill>
                    <w14:schemeClr w14:val="tx1"/>
                  </w14:solidFill>
                </w14:textFill>
              </w:rPr>
            </w:pPr>
            <w:r>
              <w:rPr>
                <w:rFonts w:hint="eastAsia" w:ascii="仿宋" w:hAnsi="仿宋" w:eastAsia="仿宋"/>
                <w:color w:val="000000" w:themeColor="text1"/>
                <w:sz w:val="18"/>
                <w:szCs w:val="18"/>
                <w:highlight w:val="none"/>
                <w14:textFill>
                  <w14:solidFill>
                    <w14:schemeClr w14:val="tx1"/>
                  </w14:solidFill>
                </w14:textFill>
              </w:rPr>
              <w:t>项目</w:t>
            </w:r>
          </w:p>
        </w:tc>
        <w:tc>
          <w:tcPr>
            <w:tcW w:w="5256" w:type="dxa"/>
          </w:tcPr>
          <w:p w14:paraId="5B8F2022">
            <w:pPr>
              <w:jc w:val="center"/>
              <w:rPr>
                <w:rFonts w:ascii="仿宋" w:hAnsi="仿宋" w:eastAsia="仿宋"/>
                <w:color w:val="000000" w:themeColor="text1"/>
                <w:sz w:val="18"/>
                <w:szCs w:val="18"/>
                <w:highlight w:val="none"/>
                <w14:textFill>
                  <w14:solidFill>
                    <w14:schemeClr w14:val="tx1"/>
                  </w14:solidFill>
                </w14:textFill>
              </w:rPr>
            </w:pPr>
            <w:r>
              <w:rPr>
                <w:rFonts w:hint="eastAsia" w:ascii="仿宋" w:hAnsi="仿宋" w:eastAsia="仿宋"/>
                <w:color w:val="000000" w:themeColor="text1"/>
                <w:sz w:val="18"/>
                <w:szCs w:val="18"/>
                <w:highlight w:val="none"/>
                <w14:textFill>
                  <w14:solidFill>
                    <w14:schemeClr w14:val="tx1"/>
                  </w14:solidFill>
                </w14:textFill>
              </w:rPr>
              <w:t>要求</w:t>
            </w:r>
          </w:p>
        </w:tc>
      </w:tr>
      <w:tr w14:paraId="2A8D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6" w:type="dxa"/>
          </w:tcPr>
          <w:p w14:paraId="33940226">
            <w:pPr>
              <w:jc w:val="center"/>
              <w:rPr>
                <w:rFonts w:ascii="仿宋" w:hAnsi="仿宋" w:eastAsia="仿宋"/>
                <w:color w:val="000000" w:themeColor="text1"/>
                <w:sz w:val="18"/>
                <w:szCs w:val="18"/>
                <w:highlight w:val="none"/>
                <w14:textFill>
                  <w14:solidFill>
                    <w14:schemeClr w14:val="tx1"/>
                  </w14:solidFill>
                </w14:textFill>
              </w:rPr>
            </w:pPr>
            <w:r>
              <w:rPr>
                <w:rFonts w:hint="eastAsia" w:ascii="仿宋" w:hAnsi="仿宋" w:eastAsia="仿宋"/>
                <w:color w:val="000000" w:themeColor="text1"/>
                <w:sz w:val="18"/>
                <w:szCs w:val="18"/>
                <w:highlight w:val="none"/>
                <w14:textFill>
                  <w14:solidFill>
                    <w14:schemeClr w14:val="tx1"/>
                  </w14:solidFill>
                </w14:textFill>
              </w:rPr>
              <w:t>认假率</w:t>
            </w:r>
          </w:p>
        </w:tc>
        <w:tc>
          <w:tcPr>
            <w:tcW w:w="5256" w:type="dxa"/>
          </w:tcPr>
          <w:p w14:paraId="7CE5DA62">
            <w:pPr>
              <w:jc w:val="center"/>
              <w:rPr>
                <w:rFonts w:ascii="仿宋" w:hAnsi="仿宋" w:eastAsia="仿宋"/>
                <w:color w:val="000000" w:themeColor="text1"/>
                <w:sz w:val="18"/>
                <w:szCs w:val="18"/>
                <w:highlight w:val="none"/>
                <w14:textFill>
                  <w14:solidFill>
                    <w14:schemeClr w14:val="tx1"/>
                  </w14:solidFill>
                </w14:textFill>
              </w:rPr>
            </w:pPr>
            <w:r>
              <w:rPr>
                <w:rFonts w:hint="eastAsia" w:ascii="仿宋" w:hAnsi="仿宋" w:eastAsia="仿宋"/>
                <w:color w:val="000000" w:themeColor="text1"/>
                <w:sz w:val="18"/>
                <w:szCs w:val="18"/>
                <w:highlight w:val="none"/>
                <w14:textFill>
                  <w14:solidFill>
                    <w14:schemeClr w14:val="tx1"/>
                  </w14:solidFill>
                </w14:textFill>
              </w:rPr>
              <w:t>≤0.001%</w:t>
            </w:r>
          </w:p>
        </w:tc>
      </w:tr>
      <w:tr w14:paraId="3C690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6" w:type="dxa"/>
          </w:tcPr>
          <w:p w14:paraId="387F2D2B">
            <w:pPr>
              <w:jc w:val="center"/>
              <w:rPr>
                <w:rFonts w:ascii="仿宋" w:hAnsi="仿宋" w:eastAsia="仿宋"/>
                <w:color w:val="000000" w:themeColor="text1"/>
                <w:sz w:val="18"/>
                <w:szCs w:val="18"/>
                <w:highlight w:val="none"/>
                <w14:textFill>
                  <w14:solidFill>
                    <w14:schemeClr w14:val="tx1"/>
                  </w14:solidFill>
                </w14:textFill>
              </w:rPr>
            </w:pPr>
            <w:r>
              <w:rPr>
                <w:rFonts w:hint="eastAsia" w:ascii="仿宋" w:hAnsi="仿宋" w:eastAsia="仿宋"/>
                <w:color w:val="000000" w:themeColor="text1"/>
                <w:sz w:val="18"/>
                <w:szCs w:val="18"/>
                <w:highlight w:val="none"/>
                <w14:textFill>
                  <w14:solidFill>
                    <w14:schemeClr w14:val="tx1"/>
                  </w14:solidFill>
                </w14:textFill>
              </w:rPr>
              <w:t>拒真率</w:t>
            </w:r>
          </w:p>
        </w:tc>
        <w:tc>
          <w:tcPr>
            <w:tcW w:w="5256" w:type="dxa"/>
          </w:tcPr>
          <w:p w14:paraId="6D948AC8">
            <w:pPr>
              <w:jc w:val="center"/>
              <w:rPr>
                <w:rFonts w:ascii="仿宋" w:hAnsi="仿宋" w:eastAsia="仿宋"/>
                <w:color w:val="000000" w:themeColor="text1"/>
                <w:sz w:val="18"/>
                <w:szCs w:val="18"/>
                <w:highlight w:val="none"/>
                <w14:textFill>
                  <w14:solidFill>
                    <w14:schemeClr w14:val="tx1"/>
                  </w14:solidFill>
                </w14:textFill>
              </w:rPr>
            </w:pPr>
            <w:r>
              <w:rPr>
                <w:rFonts w:hint="eastAsia" w:ascii="仿宋" w:hAnsi="仿宋" w:eastAsia="仿宋"/>
                <w:color w:val="000000" w:themeColor="text1"/>
                <w:sz w:val="18"/>
                <w:szCs w:val="18"/>
                <w:highlight w:val="none"/>
                <w14:textFill>
                  <w14:solidFill>
                    <w14:schemeClr w14:val="tx1"/>
                  </w14:solidFill>
                </w14:textFill>
              </w:rPr>
              <w:t>≤3%</w:t>
            </w:r>
          </w:p>
        </w:tc>
      </w:tr>
    </w:tbl>
    <w:p w14:paraId="5650E3AA">
      <w:pPr>
        <w:rPr>
          <w:rFonts w:ascii="仿宋" w:hAnsi="仿宋" w:eastAsia="仿宋"/>
          <w:color w:val="000000" w:themeColor="text1"/>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t>7.2</w:t>
      </w:r>
      <w:r>
        <w:rPr>
          <w:rFonts w:hint="eastAsia" w:ascii="仿宋" w:hAnsi="仿宋" w:eastAsia="仿宋"/>
          <w:color w:val="000000" w:themeColor="text1"/>
          <w:highlight w:val="none"/>
          <w14:textFill>
            <w14:solidFill>
              <w14:schemeClr w14:val="tx1"/>
            </w14:solidFill>
          </w14:textFill>
        </w:rPr>
        <w:t>.3密码逻辑安全</w:t>
      </w:r>
    </w:p>
    <w:p w14:paraId="677A4D3C">
      <w:pPr>
        <w:ind w:firstLine="420" w:firstLineChars="200"/>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智能门锁数字密码长度不小于6位且不允许使用连续数字和相同数字密码，提供虚位密码功能的智能门锁应限制数字密码输入长度不大于20位。</w:t>
      </w:r>
    </w:p>
    <w:p w14:paraId="14155206">
      <w:pPr>
        <w:pStyle w:val="14"/>
        <w:rPr>
          <w:rFonts w:ascii="仿宋" w:hAnsi="仿宋"/>
          <w:color w:val="000000" w:themeColor="text1"/>
          <w:highlight w:val="none"/>
          <w14:textFill>
            <w14:solidFill>
              <w14:schemeClr w14:val="tx1"/>
            </w14:solidFill>
          </w14:textFill>
        </w:rPr>
      </w:pPr>
      <w:bookmarkStart w:id="39" w:name="_Toc100580758"/>
      <w:r>
        <w:rPr>
          <w:rFonts w:ascii="仿宋" w:hAnsi="仿宋"/>
          <w:color w:val="000000" w:themeColor="text1"/>
          <w:highlight w:val="none"/>
          <w14:textFill>
            <w14:solidFill>
              <w14:schemeClr w14:val="tx1"/>
            </w14:solidFill>
          </w14:textFill>
        </w:rPr>
        <w:t>7.3</w:t>
      </w:r>
      <w:r>
        <w:rPr>
          <w:rFonts w:hint="eastAsia" w:ascii="仿宋" w:hAnsi="仿宋"/>
          <w:color w:val="000000" w:themeColor="text1"/>
          <w:highlight w:val="none"/>
          <w14:textFill>
            <w14:solidFill>
              <w14:schemeClr w14:val="tx1"/>
            </w14:solidFill>
          </w14:textFill>
        </w:rPr>
        <w:t>通信安全</w:t>
      </w:r>
      <w:bookmarkEnd w:id="39"/>
    </w:p>
    <w:p w14:paraId="20403D71">
      <w:pPr>
        <w:rPr>
          <w:rFonts w:ascii="仿宋" w:hAnsi="仿宋" w:eastAsia="仿宋"/>
          <w:color w:val="000000" w:themeColor="text1"/>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t>7.3</w:t>
      </w:r>
      <w:r>
        <w:rPr>
          <w:rFonts w:hint="eastAsia" w:ascii="仿宋" w:hAnsi="仿宋" w:eastAsia="仿宋"/>
          <w:color w:val="000000" w:themeColor="text1"/>
          <w:highlight w:val="none"/>
          <w14:textFill>
            <w14:solidFill>
              <w14:schemeClr w14:val="tx1"/>
            </w14:solidFill>
          </w14:textFill>
        </w:rPr>
        <w:t>.1个人信息安全保护</w:t>
      </w:r>
    </w:p>
    <w:p w14:paraId="0F8E91AD">
      <w:pPr>
        <w:ind w:firstLine="420" w:firstLineChars="200"/>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智能门锁终端、移动应用和管理平台各执行主体在收集个人信息时需经用户授权同意，个人信息范围见GB/T35273.</w:t>
      </w:r>
    </w:p>
    <w:p w14:paraId="733BE0C1">
      <w:pPr>
        <w:rPr>
          <w:rFonts w:ascii="仿宋" w:hAnsi="仿宋" w:eastAsia="仿宋"/>
          <w:color w:val="000000" w:themeColor="text1"/>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t>7.3</w:t>
      </w:r>
      <w:r>
        <w:rPr>
          <w:rFonts w:hint="eastAsia" w:ascii="仿宋" w:hAnsi="仿宋" w:eastAsia="仿宋"/>
          <w:color w:val="000000" w:themeColor="text1"/>
          <w:highlight w:val="none"/>
          <w14:textFill>
            <w14:solidFill>
              <w14:schemeClr w14:val="tx1"/>
            </w14:solidFill>
          </w14:textFill>
        </w:rPr>
        <w:t>.2网络安全</w:t>
      </w:r>
    </w:p>
    <w:p w14:paraId="36562470">
      <w:pPr>
        <w:ind w:firstLine="420" w:firstLineChars="200"/>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管理平台应满足相当于国家网络安全级别保护三级要求。</w:t>
      </w:r>
    </w:p>
    <w:p w14:paraId="57DD6641">
      <w:pPr>
        <w:rPr>
          <w:rFonts w:ascii="仿宋" w:hAnsi="仿宋" w:eastAsia="仿宋"/>
          <w:color w:val="000000" w:themeColor="text1"/>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t>7.3</w:t>
      </w:r>
      <w:r>
        <w:rPr>
          <w:rFonts w:hint="eastAsia" w:ascii="仿宋" w:hAnsi="仿宋" w:eastAsia="仿宋"/>
          <w:color w:val="000000" w:themeColor="text1"/>
          <w:highlight w:val="none"/>
          <w14:textFill>
            <w14:solidFill>
              <w14:schemeClr w14:val="tx1"/>
            </w14:solidFill>
          </w14:textFill>
        </w:rPr>
        <w:t>.3数据传输安全</w:t>
      </w:r>
    </w:p>
    <w:p w14:paraId="7CBADBF6">
      <w:pPr>
        <w:ind w:firstLine="420" w:firstLineChars="200"/>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智能门锁终端、移动应用和管理平台各执行主体之间的数据传输时，包括不限于蓝牙、WIFI、NFC、Zigbee、Z-wave、NB-IOT、TD-LTE、FDD-LTE等，应满足一下要求：</w:t>
      </w:r>
    </w:p>
    <w:p w14:paraId="01EEE04D">
      <w:pPr>
        <w:numPr>
          <w:ilvl w:val="0"/>
          <w:numId w:val="4"/>
        </w:num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应采用密码技术保证通信过程中数据的完整性；</w:t>
      </w:r>
    </w:p>
    <w:p w14:paraId="047C733D">
      <w:p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智能门锁应在数据链路加密的基础上对个人敏感信息和门锁服务数据加密，且加密密匙应满足一机一密，数据传输应具时效性，应具备抗重放攻击能力。加密机制应符合国标、国内密码标准，相当于AES128、国密SMI。</w:t>
      </w:r>
    </w:p>
    <w:p w14:paraId="0661D69D">
      <w:pPr>
        <w:numPr>
          <w:ilvl w:val="0"/>
          <w:numId w:val="4"/>
        </w:num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采用不同通信协议时，应采用相应的技术以防止中间人攻击，例如采用蜂窝通信时，应支持双向鉴权能力。</w:t>
      </w:r>
    </w:p>
    <w:p w14:paraId="2BEF17CB">
      <w:pPr>
        <w:pStyle w:val="14"/>
        <w:rPr>
          <w:rFonts w:ascii="仿宋" w:hAnsi="仿宋"/>
          <w:color w:val="000000" w:themeColor="text1"/>
          <w:highlight w:val="none"/>
          <w14:textFill>
            <w14:solidFill>
              <w14:schemeClr w14:val="tx1"/>
            </w14:solidFill>
          </w14:textFill>
        </w:rPr>
      </w:pPr>
      <w:bookmarkStart w:id="40" w:name="_Toc100580759"/>
      <w:r>
        <w:rPr>
          <w:rFonts w:ascii="仿宋" w:hAnsi="仿宋"/>
          <w:color w:val="000000" w:themeColor="text1"/>
          <w:highlight w:val="none"/>
          <w14:textFill>
            <w14:solidFill>
              <w14:schemeClr w14:val="tx1"/>
            </w14:solidFill>
          </w14:textFill>
        </w:rPr>
        <w:t>7.4</w:t>
      </w:r>
      <w:r>
        <w:rPr>
          <w:rFonts w:hint="eastAsia" w:ascii="仿宋" w:hAnsi="仿宋"/>
          <w:color w:val="000000" w:themeColor="text1"/>
          <w:highlight w:val="none"/>
          <w14:textFill>
            <w14:solidFill>
              <w14:schemeClr w14:val="tx1"/>
            </w14:solidFill>
          </w14:textFill>
        </w:rPr>
        <w:t>功能安全</w:t>
      </w:r>
      <w:bookmarkEnd w:id="40"/>
    </w:p>
    <w:p w14:paraId="605976B1">
      <w:pPr>
        <w:rPr>
          <w:rFonts w:ascii="仿宋" w:hAnsi="仿宋" w:eastAsia="仿宋"/>
          <w:color w:val="000000" w:themeColor="text1"/>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t>7.4</w:t>
      </w:r>
      <w:r>
        <w:rPr>
          <w:rFonts w:hint="eastAsia" w:ascii="仿宋" w:hAnsi="仿宋" w:eastAsia="仿宋"/>
          <w:color w:val="000000" w:themeColor="text1"/>
          <w:highlight w:val="none"/>
          <w14:textFill>
            <w14:solidFill>
              <w14:schemeClr w14:val="tx1"/>
            </w14:solidFill>
          </w14:textFill>
        </w:rPr>
        <w:t>.1固件安全</w:t>
      </w:r>
    </w:p>
    <w:p w14:paraId="2A07EE63">
      <w:pPr>
        <w:ind w:firstLine="420" w:firstLineChars="200"/>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固件安全应符合下列要求：</w:t>
      </w:r>
    </w:p>
    <w:p w14:paraId="3CBF7D44">
      <w:pPr>
        <w:numPr>
          <w:ilvl w:val="0"/>
          <w:numId w:val="5"/>
        </w:num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应具备固件升级功能；</w:t>
      </w:r>
    </w:p>
    <w:p w14:paraId="3CB89886">
      <w:pPr>
        <w:numPr>
          <w:ilvl w:val="0"/>
          <w:numId w:val="5"/>
        </w:num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固件升级应校验固件文件的签名信息；</w:t>
      </w:r>
    </w:p>
    <w:p w14:paraId="4A2DE111">
      <w:pPr>
        <w:numPr>
          <w:ilvl w:val="0"/>
          <w:numId w:val="5"/>
        </w:num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若通过硬件接口形式固件升级，需在说明书中明示，若以OTA方式升级，则升级操作需经用户授权同意；</w:t>
      </w:r>
    </w:p>
    <w:p w14:paraId="1F40EEF5">
      <w:pPr>
        <w:numPr>
          <w:ilvl w:val="0"/>
          <w:numId w:val="5"/>
        </w:numPr>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固件代码应进行反逆向保护。</w:t>
      </w:r>
    </w:p>
    <w:p w14:paraId="18AE3377">
      <w:pPr>
        <w:rPr>
          <w:rFonts w:ascii="仿宋" w:hAnsi="仿宋" w:eastAsia="仿宋"/>
          <w:color w:val="000000" w:themeColor="text1"/>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t>7.4</w:t>
      </w:r>
      <w:r>
        <w:rPr>
          <w:rFonts w:hint="eastAsia" w:ascii="仿宋" w:hAnsi="仿宋" w:eastAsia="仿宋"/>
          <w:color w:val="000000" w:themeColor="text1"/>
          <w:highlight w:val="none"/>
          <w14:textFill>
            <w14:solidFill>
              <w14:schemeClr w14:val="tx1"/>
            </w14:solidFill>
          </w14:textFill>
        </w:rPr>
        <w:t>.2信息保护功能</w:t>
      </w:r>
    </w:p>
    <w:p w14:paraId="4F057EA6">
      <w:pPr>
        <w:ind w:firstLine="420" w:firstLineChars="200"/>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在智能门锁电源断电或更换电池后，要求：智能门锁内已保存的鉴别信息、事件记录信息和时间信息不应丢失，当电源回复正常后，智能门锁应正常工作。</w:t>
      </w:r>
    </w:p>
    <w:p w14:paraId="6537BCB2">
      <w:pPr>
        <w:pStyle w:val="14"/>
        <w:rPr>
          <w:rFonts w:ascii="仿宋" w:hAnsi="仿宋"/>
          <w:color w:val="000000" w:themeColor="text1"/>
          <w:highlight w:val="none"/>
          <w14:textFill>
            <w14:solidFill>
              <w14:schemeClr w14:val="tx1"/>
            </w14:solidFill>
          </w14:textFill>
        </w:rPr>
      </w:pPr>
      <w:bookmarkStart w:id="41" w:name="_Toc100580760"/>
      <w:r>
        <w:rPr>
          <w:rFonts w:ascii="仿宋" w:hAnsi="仿宋"/>
          <w:color w:val="000000" w:themeColor="text1"/>
          <w:highlight w:val="none"/>
          <w14:textFill>
            <w14:solidFill>
              <w14:schemeClr w14:val="tx1"/>
            </w14:solidFill>
          </w14:textFill>
        </w:rPr>
        <w:t>7.5</w:t>
      </w:r>
      <w:r>
        <w:rPr>
          <w:rFonts w:hint="eastAsia" w:ascii="仿宋" w:hAnsi="仿宋"/>
          <w:color w:val="000000" w:themeColor="text1"/>
          <w:highlight w:val="none"/>
          <w14:textFill>
            <w14:solidFill>
              <w14:schemeClr w14:val="tx1"/>
            </w14:solidFill>
          </w14:textFill>
        </w:rPr>
        <w:t>移动应用</w:t>
      </w:r>
      <w:bookmarkEnd w:id="41"/>
    </w:p>
    <w:p w14:paraId="10068DA7">
      <w:pPr>
        <w:ind w:firstLine="420" w:firstLineChars="200"/>
        <w:rPr>
          <w:rFonts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智能门锁移动应用应满足GB/T34975对应用的完整性进行检查，以防御篡改攻击。</w:t>
      </w:r>
    </w:p>
    <w:p w14:paraId="3EE4DF14">
      <w:pPr>
        <w:pStyle w:val="16"/>
        <w:rPr>
          <w:rFonts w:ascii="仿宋" w:hAnsi="仿宋"/>
          <w:color w:val="000000" w:themeColor="text1"/>
          <w:highlight w:val="none"/>
          <w14:textFill>
            <w14:solidFill>
              <w14:schemeClr w14:val="tx1"/>
            </w14:solidFill>
          </w14:textFill>
        </w:rPr>
      </w:pPr>
      <w:bookmarkStart w:id="42" w:name="_Toc100580761"/>
      <w:r>
        <w:rPr>
          <w:rFonts w:hint="eastAsia" w:ascii="仿宋" w:hAnsi="仿宋"/>
          <w:color w:val="000000" w:themeColor="text1"/>
          <w:highlight w:val="none"/>
          <w14:textFill>
            <w14:solidFill>
              <w14:schemeClr w14:val="tx1"/>
            </w14:solidFill>
          </w14:textFill>
        </w:rPr>
        <w:t>八、抽样规则</w:t>
      </w:r>
      <w:bookmarkEnd w:id="42"/>
    </w:p>
    <w:p w14:paraId="5E0110F0">
      <w:pPr>
        <w:widowControl/>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根据GB</w:t>
      </w:r>
      <w:r>
        <w:rPr>
          <w:rFonts w:ascii="仿宋" w:hAnsi="仿宋" w:eastAsia="仿宋"/>
          <w:color w:val="000000" w:themeColor="text1"/>
          <w:szCs w:val="21"/>
          <w:highlight w:val="non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2828-2003 一般检查水平II类检验标准，产品性能按照AQL=0.4执行，产品外观按照AQL=0.65执行。根据订单数量确定批次抽检数。</w:t>
      </w:r>
    </w:p>
    <w:p w14:paraId="47E384B7">
      <w:pPr>
        <w:widowControl/>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产品抽检若连续两批判退，第三批实行加严检验标准，即一般检查水平 III 类检验标准，产品性能按照AQL=0.4执行，产品外观按照AQL=0.65执行。</w:t>
      </w:r>
    </w:p>
    <w:p w14:paraId="53693102">
      <w:pPr>
        <w:pStyle w:val="16"/>
        <w:rPr>
          <w:rFonts w:ascii="仿宋" w:hAnsi="仿宋"/>
          <w:color w:val="000000" w:themeColor="text1"/>
          <w14:textFill>
            <w14:solidFill>
              <w14:schemeClr w14:val="tx1"/>
            </w14:solidFill>
          </w14:textFill>
        </w:rPr>
      </w:pPr>
      <w:bookmarkStart w:id="43" w:name="_Toc100580762"/>
      <w:r>
        <w:rPr>
          <w:rFonts w:hint="eastAsia" w:ascii="仿宋" w:hAnsi="仿宋"/>
          <w:color w:val="000000" w:themeColor="text1"/>
          <w14:textFill>
            <w14:solidFill>
              <w14:schemeClr w14:val="tx1"/>
            </w14:solidFill>
          </w14:textFill>
        </w:rPr>
        <w:t>九、现行规范清单</w:t>
      </w:r>
      <w:bookmarkEnd w:id="43"/>
    </w:p>
    <w:p w14:paraId="6BF092E1">
      <w:pPr>
        <w:widowControl/>
        <w:ind w:firstLine="420" w:firstLineChars="200"/>
        <w:jc w:val="left"/>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必须满足的现行基本规范但不限于：</w:t>
      </w:r>
    </w:p>
    <w:p w14:paraId="2514B1E9">
      <w:pPr>
        <w:pStyle w:val="26"/>
        <w:snapToGrid w:val="0"/>
        <w:spacing w:line="276" w:lineRule="auto"/>
        <w:ind w:left="425"/>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GA 374-2019 《电子防盗锁》</w:t>
      </w:r>
    </w:p>
    <w:p w14:paraId="4C7841F0">
      <w:pPr>
        <w:pStyle w:val="26"/>
        <w:snapToGrid w:val="0"/>
        <w:spacing w:line="276" w:lineRule="auto"/>
        <w:ind w:left="425"/>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GA</w:t>
      </w:r>
      <w:r>
        <w:rPr>
          <w:rFonts w:ascii="仿宋" w:hAnsi="仿宋" w:eastAsia="仿宋"/>
          <w:bCs/>
          <w:color w:val="000000" w:themeColor="text1"/>
          <w:szCs w:val="21"/>
          <w14:textFill>
            <w14:solidFill>
              <w14:schemeClr w14:val="tx1"/>
            </w14:solidFill>
          </w14:textFill>
        </w:rPr>
        <w:t>/</w:t>
      </w:r>
      <w:r>
        <w:rPr>
          <w:rFonts w:hint="eastAsia" w:ascii="仿宋" w:hAnsi="仿宋" w:eastAsia="仿宋"/>
          <w:bCs/>
          <w:color w:val="000000" w:themeColor="text1"/>
          <w:szCs w:val="21"/>
          <w14:textFill>
            <w14:solidFill>
              <w14:schemeClr w14:val="tx1"/>
            </w14:solidFill>
          </w14:textFill>
        </w:rPr>
        <w:t>T 73-2015《机械防盗锁》</w:t>
      </w:r>
    </w:p>
    <w:p w14:paraId="0B867809">
      <w:pPr>
        <w:pStyle w:val="26"/>
        <w:snapToGrid w:val="0"/>
        <w:spacing w:line="276" w:lineRule="auto"/>
        <w:ind w:left="425"/>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GB 12955《防火门》附录A 防火锁的要求和试验方法</w:t>
      </w:r>
    </w:p>
    <w:p w14:paraId="00481D95">
      <w:pPr>
        <w:pStyle w:val="26"/>
        <w:snapToGrid w:val="0"/>
        <w:spacing w:line="276" w:lineRule="auto"/>
        <w:ind w:left="425"/>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GB 17565《防盗安全门通用技术条件》</w:t>
      </w:r>
    </w:p>
    <w:p w14:paraId="0F5291D2">
      <w:pPr>
        <w:pStyle w:val="26"/>
        <w:snapToGrid w:val="0"/>
        <w:spacing w:line="276" w:lineRule="auto"/>
        <w:ind w:left="425"/>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GB 21556-2008 《锁具安全通用技术条件》</w:t>
      </w:r>
    </w:p>
    <w:p w14:paraId="0297BEBD">
      <w:pPr>
        <w:pStyle w:val="26"/>
        <w:snapToGrid w:val="0"/>
        <w:spacing w:line="276" w:lineRule="auto"/>
        <w:ind w:left="425"/>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JG/T 394-2012 建筑智能门锁通用技术要求</w:t>
      </w:r>
    </w:p>
    <w:p w14:paraId="4AAE12A6">
      <w:pPr>
        <w:pStyle w:val="26"/>
        <w:snapToGrid w:val="0"/>
        <w:spacing w:line="276" w:lineRule="auto"/>
        <w:ind w:left="425"/>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 xml:space="preserve">GB/T </w:t>
      </w:r>
      <w:r>
        <w:rPr>
          <w:rFonts w:ascii="仿宋" w:hAnsi="仿宋" w:eastAsia="仿宋"/>
          <w:bCs/>
          <w:color w:val="000000" w:themeColor="text1"/>
          <w:szCs w:val="21"/>
          <w14:textFill>
            <w14:solidFill>
              <w14:schemeClr w14:val="tx1"/>
            </w14:solidFill>
          </w14:textFill>
        </w:rPr>
        <w:t>37634</w:t>
      </w:r>
      <w:r>
        <w:rPr>
          <w:rFonts w:hint="eastAsia" w:ascii="仿宋" w:hAnsi="仿宋" w:eastAsia="仿宋"/>
          <w:bCs/>
          <w:color w:val="000000" w:themeColor="text1"/>
          <w:szCs w:val="21"/>
          <w14:textFill>
            <w14:solidFill>
              <w14:schemeClr w14:val="tx1"/>
            </w14:solidFill>
          </w14:textFill>
        </w:rPr>
        <w:t>-</w:t>
      </w:r>
      <w:r>
        <w:rPr>
          <w:rFonts w:ascii="仿宋" w:hAnsi="仿宋" w:eastAsia="仿宋"/>
          <w:bCs/>
          <w:color w:val="000000" w:themeColor="text1"/>
          <w:szCs w:val="21"/>
          <w14:textFill>
            <w14:solidFill>
              <w14:schemeClr w14:val="tx1"/>
            </w14:solidFill>
          </w14:textFill>
        </w:rPr>
        <w:t>201</w:t>
      </w:r>
      <w:r>
        <w:rPr>
          <w:rFonts w:hint="eastAsia" w:ascii="仿宋" w:hAnsi="仿宋" w:eastAsia="仿宋"/>
          <w:bCs/>
          <w:color w:val="000000" w:themeColor="text1"/>
          <w:szCs w:val="21"/>
          <w14:textFill>
            <w14:solidFill>
              <w14:schemeClr w14:val="tx1"/>
            </w14:solidFill>
          </w14:textFill>
        </w:rPr>
        <w:t>9 锁具测试方法</w:t>
      </w:r>
    </w:p>
    <w:p w14:paraId="51DC7DC5">
      <w:pPr>
        <w:pStyle w:val="26"/>
        <w:snapToGrid w:val="0"/>
        <w:spacing w:line="276" w:lineRule="auto"/>
        <w:ind w:left="425"/>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GB50016-2014 《建筑设计防火规范》</w:t>
      </w:r>
    </w:p>
    <w:p w14:paraId="5C7EEBF8">
      <w:pPr>
        <w:pStyle w:val="26"/>
        <w:snapToGrid w:val="0"/>
        <w:spacing w:line="276" w:lineRule="auto"/>
        <w:ind w:left="425"/>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JGJ/T 16-2008 《民用建筑电气设计规范》</w:t>
      </w:r>
    </w:p>
    <w:p w14:paraId="649B94C4">
      <w:pPr>
        <w:pStyle w:val="26"/>
        <w:snapToGrid w:val="0"/>
        <w:spacing w:line="276" w:lineRule="auto"/>
        <w:ind w:left="425"/>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GB/T50314-2015 《智能建筑设计标准》</w:t>
      </w:r>
    </w:p>
    <w:p w14:paraId="51583303">
      <w:pPr>
        <w:pStyle w:val="26"/>
        <w:snapToGrid w:val="0"/>
        <w:spacing w:line="276" w:lineRule="auto"/>
        <w:ind w:left="844" w:leftChars="402" w:firstLine="0" w:firstLineChars="0"/>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GB50339-2013 《智能建筑工程质量验收规范》</w:t>
      </w:r>
    </w:p>
    <w:p w14:paraId="6E449E0A">
      <w:pPr>
        <w:pStyle w:val="26"/>
        <w:snapToGrid w:val="0"/>
        <w:spacing w:line="276" w:lineRule="auto"/>
        <w:ind w:left="844" w:leftChars="402" w:firstLine="0" w:firstLineChars="0"/>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T</w:t>
      </w:r>
      <w:r>
        <w:rPr>
          <w:rFonts w:ascii="仿宋" w:hAnsi="仿宋" w:eastAsia="仿宋"/>
          <w:bCs/>
          <w:color w:val="000000" w:themeColor="text1"/>
          <w:szCs w:val="21"/>
          <w14:textFill>
            <w14:solidFill>
              <w14:schemeClr w14:val="tx1"/>
            </w14:solidFill>
          </w14:textFill>
        </w:rPr>
        <w:t xml:space="preserve">/SZS 4005-2019 </w:t>
      </w:r>
      <w:r>
        <w:rPr>
          <w:rFonts w:hint="eastAsia" w:ascii="仿宋" w:hAnsi="仿宋" w:eastAsia="仿宋"/>
          <w:bCs/>
          <w:color w:val="000000" w:themeColor="text1"/>
          <w:szCs w:val="21"/>
          <w14:textFill>
            <w14:solidFill>
              <w14:schemeClr w14:val="tx1"/>
            </w14:solidFill>
          </w14:textFill>
        </w:rPr>
        <w:t>《智能门锁通用技术条件》</w:t>
      </w:r>
    </w:p>
    <w:p w14:paraId="1580F636">
      <w:pPr>
        <w:pStyle w:val="26"/>
        <w:snapToGrid w:val="0"/>
        <w:spacing w:line="276" w:lineRule="auto"/>
        <w:ind w:left="844" w:leftChars="402" w:firstLine="0" w:firstLineChars="0"/>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T</w:t>
      </w:r>
      <w:r>
        <w:rPr>
          <w:rFonts w:ascii="仿宋" w:hAnsi="仿宋" w:eastAsia="仿宋"/>
          <w:bCs/>
          <w:color w:val="000000" w:themeColor="text1"/>
          <w:szCs w:val="21"/>
          <w14:textFill>
            <w14:solidFill>
              <w14:schemeClr w14:val="tx1"/>
            </w14:solidFill>
          </w14:textFill>
        </w:rPr>
        <w:t>/SPEMF 0011</w:t>
      </w:r>
      <w:r>
        <w:rPr>
          <w:rFonts w:hint="eastAsia" w:ascii="仿宋" w:hAnsi="仿宋" w:eastAsia="仿宋"/>
          <w:bCs/>
          <w:color w:val="000000" w:themeColor="text1"/>
          <w:szCs w:val="21"/>
          <w14:textFill>
            <w14:solidFill>
              <w14:schemeClr w14:val="tx1"/>
            </w14:solidFill>
          </w14:textFill>
        </w:rPr>
        <w:t>-</w:t>
      </w:r>
      <w:r>
        <w:rPr>
          <w:rFonts w:ascii="仿宋" w:hAnsi="仿宋" w:eastAsia="仿宋"/>
          <w:bCs/>
          <w:color w:val="000000" w:themeColor="text1"/>
          <w:szCs w:val="21"/>
          <w14:textFill>
            <w14:solidFill>
              <w14:schemeClr w14:val="tx1"/>
            </w14:solidFill>
          </w14:textFill>
        </w:rPr>
        <w:t xml:space="preserve">2020 </w:t>
      </w:r>
      <w:r>
        <w:rPr>
          <w:rFonts w:hint="eastAsia" w:ascii="仿宋" w:hAnsi="仿宋" w:eastAsia="仿宋"/>
          <w:bCs/>
          <w:color w:val="000000" w:themeColor="text1"/>
          <w:szCs w:val="21"/>
          <w14:textFill>
            <w14:solidFill>
              <w14:schemeClr w14:val="tx1"/>
            </w14:solidFill>
          </w14:textFill>
        </w:rPr>
        <w:t>《智能门锁》</w:t>
      </w:r>
    </w:p>
    <w:p w14:paraId="0B1B4DCB">
      <w:pPr>
        <w:pStyle w:val="26"/>
        <w:snapToGrid w:val="0"/>
        <w:spacing w:line="276" w:lineRule="auto"/>
        <w:ind w:left="844" w:leftChars="402" w:firstLine="0" w:firstLineChars="0"/>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G</w:t>
      </w:r>
      <w:r>
        <w:rPr>
          <w:rFonts w:ascii="仿宋" w:hAnsi="仿宋" w:eastAsia="仿宋"/>
          <w:bCs/>
          <w:color w:val="000000" w:themeColor="text1"/>
          <w:szCs w:val="21"/>
          <w14:textFill>
            <w14:solidFill>
              <w14:schemeClr w14:val="tx1"/>
            </w14:solidFill>
          </w14:textFill>
        </w:rPr>
        <w:t xml:space="preserve">B/T 35136-2017  </w:t>
      </w:r>
      <w:r>
        <w:rPr>
          <w:rFonts w:hint="eastAsia" w:ascii="仿宋" w:hAnsi="仿宋" w:eastAsia="仿宋"/>
          <w:bCs/>
          <w:color w:val="000000" w:themeColor="text1"/>
          <w:szCs w:val="21"/>
          <w14:textFill>
            <w14:solidFill>
              <w14:schemeClr w14:val="tx1"/>
            </w14:solidFill>
          </w14:textFill>
        </w:rPr>
        <w:t>智能家居自动控制设备通用技术要求</w:t>
      </w:r>
    </w:p>
    <w:p w14:paraId="1F82451B">
      <w:pPr>
        <w:pStyle w:val="26"/>
        <w:snapToGrid w:val="0"/>
        <w:spacing w:line="276" w:lineRule="auto"/>
        <w:ind w:left="844" w:leftChars="402" w:firstLine="0" w:firstLineChars="0"/>
        <w:rPr>
          <w:rFonts w:ascii="仿宋" w:hAnsi="仿宋" w:eastAsia="仿宋"/>
          <w:bCs/>
          <w:color w:val="000000" w:themeColor="text1"/>
          <w:szCs w:val="21"/>
          <w14:textFill>
            <w14:solidFill>
              <w14:schemeClr w14:val="tx1"/>
            </w14:solidFill>
          </w14:textFill>
        </w:rPr>
      </w:pPr>
      <w:r>
        <w:rPr>
          <w:rFonts w:hint="eastAsia" w:ascii="仿宋" w:hAnsi="仿宋" w:eastAsia="仿宋"/>
          <w:bCs/>
          <w:color w:val="000000" w:themeColor="text1"/>
          <w:szCs w:val="21"/>
          <w14:textFill>
            <w14:solidFill>
              <w14:schemeClr w14:val="tx1"/>
            </w14:solidFill>
          </w14:textFill>
        </w:rPr>
        <w:t>G</w:t>
      </w:r>
      <w:r>
        <w:rPr>
          <w:rFonts w:ascii="仿宋" w:hAnsi="仿宋" w:eastAsia="仿宋"/>
          <w:bCs/>
          <w:color w:val="000000" w:themeColor="text1"/>
          <w:szCs w:val="21"/>
          <w14:textFill>
            <w14:solidFill>
              <w14:schemeClr w14:val="tx1"/>
            </w14:solidFill>
          </w14:textFill>
        </w:rPr>
        <w:t xml:space="preserve">B/T 39190-2020  </w:t>
      </w:r>
      <w:r>
        <w:rPr>
          <w:rFonts w:hint="eastAsia" w:ascii="仿宋" w:hAnsi="仿宋" w:eastAsia="仿宋"/>
          <w:bCs/>
          <w:color w:val="000000" w:themeColor="text1"/>
          <w:szCs w:val="21"/>
          <w14:textFill>
            <w14:solidFill>
              <w14:schemeClr w14:val="tx1"/>
            </w14:solidFill>
          </w14:textFill>
        </w:rPr>
        <w:t xml:space="preserve">物联网智能家居 </w:t>
      </w:r>
      <w:r>
        <w:rPr>
          <w:rFonts w:ascii="仿宋" w:hAnsi="仿宋" w:eastAsia="仿宋"/>
          <w:bCs/>
          <w:color w:val="000000" w:themeColor="text1"/>
          <w:szCs w:val="21"/>
          <w14:textFill>
            <w14:solidFill>
              <w14:schemeClr w14:val="tx1"/>
            </w14:solidFill>
          </w14:textFill>
        </w:rPr>
        <w:t xml:space="preserve"> </w:t>
      </w:r>
      <w:r>
        <w:rPr>
          <w:rFonts w:hint="eastAsia" w:ascii="仿宋" w:hAnsi="仿宋" w:eastAsia="仿宋"/>
          <w:bCs/>
          <w:color w:val="000000" w:themeColor="text1"/>
          <w:szCs w:val="21"/>
          <w14:textFill>
            <w14:solidFill>
              <w14:schemeClr w14:val="tx1"/>
            </w14:solidFill>
          </w14:textFill>
        </w:rPr>
        <w:t>设计内容及要求</w:t>
      </w:r>
    </w:p>
    <w:p w14:paraId="34556AA7">
      <w:pPr>
        <w:pStyle w:val="26"/>
        <w:snapToGrid w:val="0"/>
        <w:spacing w:line="276" w:lineRule="auto"/>
        <w:ind w:left="844" w:leftChars="402" w:firstLine="0" w:firstLineChars="0"/>
        <w:rPr>
          <w:rFonts w:ascii="仿宋" w:hAnsi="仿宋" w:eastAsia="仿宋"/>
          <w:bCs/>
          <w:color w:val="000000" w:themeColor="text1"/>
          <w:szCs w:val="21"/>
          <w14:textFill>
            <w14:solidFill>
              <w14:schemeClr w14:val="tx1"/>
            </w14:solidFill>
          </w14:textFill>
        </w:rPr>
      </w:pPr>
    </w:p>
    <w:p w14:paraId="67F53824">
      <w:pPr>
        <w:pStyle w:val="16"/>
        <w:rPr>
          <w:rFonts w:ascii="仿宋" w:hAnsi="仿宋"/>
          <w:color w:val="000000" w:themeColor="text1"/>
          <w14:textFill>
            <w14:solidFill>
              <w14:schemeClr w14:val="tx1"/>
            </w14:solidFill>
          </w14:textFill>
        </w:rPr>
      </w:pPr>
      <w:bookmarkStart w:id="44" w:name="_Toc100580763"/>
      <w:r>
        <w:rPr>
          <w:rFonts w:hint="eastAsia" w:ascii="仿宋" w:hAnsi="仿宋"/>
          <w:color w:val="000000" w:themeColor="text1"/>
          <w14:textFill>
            <w14:solidFill>
              <w14:schemeClr w14:val="tx1"/>
            </w14:solidFill>
          </w14:textFill>
        </w:rPr>
        <w:t>附件</w:t>
      </w:r>
      <w:bookmarkEnd w:id="44"/>
    </w:p>
    <w:bookmarkEnd w:id="3"/>
    <w:p w14:paraId="289581E3">
      <w:pPr>
        <w:pStyle w:val="14"/>
        <w:rPr>
          <w:color w:val="000000" w:themeColor="text1"/>
          <w14:textFill>
            <w14:solidFill>
              <w14:schemeClr w14:val="tx1"/>
            </w14:solidFill>
          </w14:textFill>
        </w:rPr>
      </w:pPr>
      <w:bookmarkStart w:id="45" w:name="_Toc100580764"/>
      <w:r>
        <w:rPr>
          <w:rFonts w:hint="eastAsia"/>
          <w:color w:val="000000" w:themeColor="text1"/>
          <w14:textFill>
            <w14:solidFill>
              <w14:schemeClr w14:val="tx1"/>
            </w14:solidFill>
          </w14:textFill>
        </w:rPr>
        <w:t>安装配合要求</w:t>
      </w:r>
      <w:bookmarkEnd w:id="45"/>
    </w:p>
    <w:p w14:paraId="5904AD8F">
      <w:pPr>
        <w:snapToGrid w:val="0"/>
        <w:spacing w:line="276" w:lineRule="auto"/>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投标人应配合门厂完成锁具预留开孔，并在安装前检查锁厂开孔尺寸的偏差，只有达到安装条件，才可安装门锁，否则出现门锁失灵、变形等无法打开门的情况，由投标人承担完全责任。</w:t>
      </w:r>
    </w:p>
    <w:p w14:paraId="7DF893F3">
      <w:pPr>
        <w:snapToGrid w:val="0"/>
        <w:spacing w:line="276" w:lineRule="auto"/>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在正式门锁安装之前，招标人可选择采用机械替代锁，机械替代锁由锁厂负责供货安装。电子锁的开孔尺寸应能满足机械锁的安装、安全使用方面的要求。在得到招标人指令后才可进行正式门锁安装，否则在此期间出现的门锁损坏、划痕等问题，由投标人承担完全责任。</w:t>
      </w:r>
    </w:p>
    <w:p w14:paraId="799A8B50">
      <w:pPr>
        <w:snapToGrid w:val="0"/>
        <w:spacing w:line="276" w:lineRule="auto"/>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在正式门锁安装之后，仍应对面板、把手等做好成品保护。</w:t>
      </w:r>
    </w:p>
    <w:p w14:paraId="5145A0B4">
      <w:pPr>
        <w:snapToGrid w:val="0"/>
        <w:spacing w:line="276" w:lineRule="auto"/>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门锁安装完成后，锁厂应针对具体项目产品进行适当备货，保证现场出现问题可及时进行更换。</w:t>
      </w:r>
    </w:p>
    <w:p w14:paraId="0D3F8688">
      <w:pPr>
        <w:pStyle w:val="14"/>
        <w:rPr>
          <w:color w:val="0000FF"/>
        </w:rPr>
      </w:pPr>
      <w:bookmarkStart w:id="46" w:name="_Toc100580765"/>
      <w:r>
        <w:rPr>
          <w:rFonts w:hint="eastAsia"/>
          <w:color w:val="0000FF"/>
        </w:rPr>
        <w:t>保修及质量要求</w:t>
      </w:r>
      <w:bookmarkEnd w:id="46"/>
    </w:p>
    <w:p w14:paraId="0A6C9E68">
      <w:pPr>
        <w:numPr>
          <w:ilvl w:val="0"/>
          <w:numId w:val="6"/>
        </w:numPr>
        <w:snapToGrid w:val="0"/>
        <w:spacing w:line="276" w:lineRule="auto"/>
        <w:ind w:firstLine="420" w:firstLineChars="200"/>
        <w:rPr>
          <w:rFonts w:hint="eastAsia" w:ascii="仿宋" w:hAnsi="仿宋" w:eastAsia="仿宋"/>
          <w:color w:val="0000FF"/>
          <w:szCs w:val="21"/>
        </w:rPr>
      </w:pPr>
      <w:r>
        <w:rPr>
          <w:rFonts w:hint="eastAsia" w:ascii="仿宋" w:hAnsi="仿宋" w:eastAsia="仿宋"/>
          <w:color w:val="0000FF"/>
          <w:szCs w:val="21"/>
        </w:rPr>
        <w:t>在质保期或由监理单位、甲方（或管理公司）、设计单位提出，对找到的缺陷、不妥善之处或其他过失而有必要进行的修理工作。质保期是指该商品因质量问题而出现的故障时提供免费维修及保养的时间段，智能门锁质保期要求为</w:t>
      </w:r>
      <w:r>
        <w:rPr>
          <w:rFonts w:hint="eastAsia" w:ascii="仿宋" w:hAnsi="仿宋" w:eastAsia="仿宋"/>
          <w:color w:val="0000FF"/>
          <w:szCs w:val="21"/>
          <w:lang w:val="en-US" w:eastAsia="zh-CN"/>
        </w:rPr>
        <w:t>2</w:t>
      </w:r>
      <w:r>
        <w:rPr>
          <w:rFonts w:hint="eastAsia" w:ascii="仿宋" w:hAnsi="仿宋" w:eastAsia="仿宋"/>
          <w:color w:val="0000FF"/>
          <w:szCs w:val="21"/>
        </w:rPr>
        <w:t xml:space="preserve">年，自工程竣工验收合格之日起计算。 </w:t>
      </w:r>
    </w:p>
    <w:p w14:paraId="066C1B21">
      <w:pPr>
        <w:numPr>
          <w:ilvl w:val="0"/>
          <w:numId w:val="6"/>
        </w:numPr>
        <w:snapToGrid w:val="0"/>
        <w:spacing w:line="276" w:lineRule="auto"/>
        <w:ind w:firstLine="420" w:firstLineChars="200"/>
        <w:rPr>
          <w:rFonts w:hint="eastAsia" w:ascii="仿宋" w:hAnsi="仿宋" w:eastAsia="仿宋"/>
          <w:color w:val="0000FF"/>
          <w:szCs w:val="21"/>
        </w:rPr>
      </w:pPr>
      <w:r>
        <w:rPr>
          <w:rFonts w:hint="eastAsia" w:ascii="仿宋" w:hAnsi="仿宋" w:eastAsia="仿宋"/>
          <w:color w:val="0000FF"/>
          <w:szCs w:val="21"/>
        </w:rPr>
        <w:t>乙方与甲方新签订项目，乙方均应提供7×24小时故障报修服务。对于导致门锁完全无法开启的紧急故障（如电池耗尽、锁体卡死等），乙方应在接到报修后【2】小时内抵达现场处理。若现场确认无法在【1】小时内修复，乙方应免费为甲方更换同型号或更高规格的备用锁，以确保用户正常使用。</w:t>
      </w:r>
    </w:p>
    <w:p w14:paraId="427881E1">
      <w:pPr>
        <w:numPr>
          <w:ilvl w:val="0"/>
          <w:numId w:val="6"/>
        </w:numPr>
        <w:snapToGrid w:val="0"/>
        <w:spacing w:line="276" w:lineRule="auto"/>
        <w:ind w:firstLine="420" w:firstLineChars="200"/>
        <w:rPr>
          <w:rFonts w:hint="eastAsia" w:ascii="仿宋" w:hAnsi="仿宋" w:eastAsia="仿宋"/>
          <w:color w:val="0000FF"/>
          <w:szCs w:val="21"/>
        </w:rPr>
      </w:pPr>
      <w:r>
        <w:rPr>
          <w:rFonts w:hint="eastAsia" w:ascii="仿宋" w:hAnsi="仿宋" w:eastAsia="仿宋"/>
          <w:color w:val="0000FF"/>
          <w:szCs w:val="21"/>
        </w:rPr>
        <w:t xml:space="preserve">在本保修期结束前，须再一次与甲方或物业管理公司、住户进行工程质量全面检查，并尽快免费矫正所有被发现的缺陷，解决问题后须经甲方或物业管理公司、用户认可后，才能申请质保金的发放。 </w:t>
      </w:r>
    </w:p>
    <w:p w14:paraId="306E4C0C">
      <w:pPr>
        <w:numPr>
          <w:ilvl w:val="0"/>
          <w:numId w:val="6"/>
        </w:numPr>
        <w:snapToGrid w:val="0"/>
        <w:spacing w:line="276" w:lineRule="auto"/>
        <w:ind w:firstLine="420" w:firstLineChars="200"/>
        <w:rPr>
          <w:rFonts w:hint="eastAsia" w:ascii="仿宋" w:hAnsi="仿宋" w:eastAsia="仿宋"/>
          <w:color w:val="0000FF"/>
          <w:szCs w:val="21"/>
        </w:rPr>
      </w:pPr>
      <w:r>
        <w:rPr>
          <w:rFonts w:hint="eastAsia" w:ascii="仿宋" w:hAnsi="仿宋" w:eastAsia="仿宋"/>
          <w:color w:val="0000FF"/>
          <w:szCs w:val="21"/>
        </w:rPr>
        <w:t xml:space="preserve">门锁工程不得再分包或转让给第三方，本维修服务不得转让第三方。 </w:t>
      </w:r>
    </w:p>
    <w:p w14:paraId="1E791281">
      <w:pPr>
        <w:numPr>
          <w:ilvl w:val="0"/>
          <w:numId w:val="6"/>
        </w:numPr>
        <w:snapToGrid w:val="0"/>
        <w:spacing w:line="276" w:lineRule="auto"/>
        <w:ind w:firstLine="420" w:firstLineChars="200"/>
        <w:rPr>
          <w:rFonts w:hint="eastAsia" w:ascii="仿宋" w:hAnsi="仿宋" w:eastAsia="仿宋"/>
          <w:color w:val="0000FF"/>
          <w:szCs w:val="21"/>
        </w:rPr>
      </w:pPr>
      <w:r>
        <w:rPr>
          <w:rFonts w:hint="eastAsia" w:ascii="仿宋" w:hAnsi="仿宋" w:eastAsia="仿宋"/>
          <w:color w:val="0000FF"/>
          <w:szCs w:val="21"/>
        </w:rPr>
        <w:t>质保期内，对于非乙方产品质量或安装原因导致的损坏（包括但不限于租户使用不当、人为破坏、不可抗力等），乙方仍应提供维修服务，但维修所涉及的配件及人工费用由责任方承担。费用标准应参照乙方相应集采价格执行。对于责任归属存在争议的，双方可委托第三方机构进行鉴定，鉴定费用由过错方承担。</w:t>
      </w:r>
    </w:p>
    <w:p w14:paraId="1FCB7B19">
      <w:pPr>
        <w:numPr>
          <w:ilvl w:val="0"/>
          <w:numId w:val="6"/>
        </w:numPr>
        <w:snapToGrid w:val="0"/>
        <w:spacing w:line="276" w:lineRule="auto"/>
        <w:ind w:firstLine="420" w:firstLineChars="200"/>
        <w:rPr>
          <w:rFonts w:hint="eastAsia" w:ascii="仿宋" w:hAnsi="仿宋" w:eastAsia="仿宋"/>
          <w:color w:val="0000FF"/>
          <w:szCs w:val="21"/>
        </w:rPr>
      </w:pPr>
      <w:r>
        <w:rPr>
          <w:rFonts w:hint="eastAsia" w:ascii="仿宋" w:hAnsi="仿宋" w:eastAsia="仿宋"/>
          <w:color w:val="0000FF"/>
          <w:szCs w:val="21"/>
        </w:rPr>
        <w:t>所有根据本保修服务条文的工作，须由门锁供应商直接雇用及监管下由有专业能力的维修人员负责执行。</w:t>
      </w:r>
    </w:p>
    <w:p w14:paraId="30A5864D">
      <w:pPr>
        <w:numPr>
          <w:ilvl w:val="0"/>
          <w:numId w:val="6"/>
        </w:numPr>
        <w:snapToGrid w:val="0"/>
        <w:spacing w:line="276" w:lineRule="auto"/>
        <w:ind w:firstLine="420" w:firstLineChars="200"/>
        <w:rPr>
          <w:rFonts w:ascii="仿宋" w:hAnsi="仿宋" w:eastAsia="仿宋"/>
          <w:color w:val="000000" w:themeColor="text1"/>
          <w:szCs w:val="21"/>
          <w14:textFill>
            <w14:solidFill>
              <w14:schemeClr w14:val="tx1"/>
            </w14:solidFill>
          </w14:textFill>
        </w:rPr>
      </w:pPr>
      <w:r>
        <w:rPr>
          <w:rFonts w:hint="eastAsia" w:ascii="仿宋" w:hAnsi="仿宋" w:eastAsia="仿宋"/>
          <w:color w:val="0000FF"/>
          <w:szCs w:val="21"/>
        </w:rPr>
        <w:t>在完成任何重点维修，或是反复性质量问题而导致影响到用户的正常使用时，甲方可要求乙方提交一份或两份的质量原因分析报告。该报告须详尽叙述导致需要维修的原因，影响使用的原因和完成修复的日期时间。所有替换材料的目录须附于报告上。</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33067">
    <w:pPr>
      <w:pStyle w:val="12"/>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A1F877"/>
    <w:multiLevelType w:val="singleLevel"/>
    <w:tmpl w:val="A9A1F877"/>
    <w:lvl w:ilvl="0" w:tentative="0">
      <w:start w:val="1"/>
      <w:numFmt w:val="lowerLetter"/>
      <w:lvlText w:val="%1)"/>
      <w:lvlJc w:val="left"/>
      <w:pPr>
        <w:tabs>
          <w:tab w:val="left" w:pos="312"/>
        </w:tabs>
      </w:pPr>
    </w:lvl>
  </w:abstractNum>
  <w:abstractNum w:abstractNumId="1">
    <w:nsid w:val="AAB2CCB8"/>
    <w:multiLevelType w:val="singleLevel"/>
    <w:tmpl w:val="AAB2CCB8"/>
    <w:lvl w:ilvl="0" w:tentative="0">
      <w:start w:val="1"/>
      <w:numFmt w:val="decimalEnclosedCircleChinese"/>
      <w:suff w:val="nothing"/>
      <w:lvlText w:val="%1　"/>
      <w:lvlJc w:val="left"/>
      <w:pPr>
        <w:ind w:left="0" w:firstLine="400"/>
      </w:pPr>
      <w:rPr>
        <w:rFonts w:hint="eastAsia"/>
      </w:rPr>
    </w:lvl>
  </w:abstractNum>
  <w:abstractNum w:abstractNumId="2">
    <w:nsid w:val="BA1F96DD"/>
    <w:multiLevelType w:val="singleLevel"/>
    <w:tmpl w:val="BA1F96DD"/>
    <w:lvl w:ilvl="0" w:tentative="0">
      <w:start w:val="1"/>
      <w:numFmt w:val="lowerLetter"/>
      <w:lvlText w:val="%1)"/>
      <w:lvlJc w:val="left"/>
      <w:pPr>
        <w:tabs>
          <w:tab w:val="left" w:pos="312"/>
        </w:tabs>
      </w:pPr>
    </w:lvl>
  </w:abstractNum>
  <w:abstractNum w:abstractNumId="3">
    <w:nsid w:val="04D0C6E0"/>
    <w:multiLevelType w:val="singleLevel"/>
    <w:tmpl w:val="04D0C6E0"/>
    <w:lvl w:ilvl="0" w:tentative="0">
      <w:start w:val="1"/>
      <w:numFmt w:val="lowerLetter"/>
      <w:lvlText w:val="%1)"/>
      <w:lvlJc w:val="left"/>
      <w:pPr>
        <w:tabs>
          <w:tab w:val="left" w:pos="312"/>
        </w:tabs>
      </w:pPr>
    </w:lvl>
  </w:abstractNum>
  <w:abstractNum w:abstractNumId="4">
    <w:nsid w:val="10DC765C"/>
    <w:multiLevelType w:val="multilevel"/>
    <w:tmpl w:val="10DC765C"/>
    <w:lvl w:ilvl="0" w:tentative="0">
      <w:start w:val="2"/>
      <w:numFmt w:val="decimal"/>
      <w:pStyle w:val="45"/>
      <w:lvlText w:val="%1"/>
      <w:lvlJc w:val="left"/>
      <w:pPr>
        <w:ind w:left="360" w:hanging="360"/>
      </w:pPr>
      <w:rPr>
        <w:rFonts w:hint="default"/>
      </w:rPr>
    </w:lvl>
    <w:lvl w:ilvl="1" w:tentative="0">
      <w:start w:val="3"/>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5">
    <w:nsid w:val="52FC612C"/>
    <w:multiLevelType w:val="multilevel"/>
    <w:tmpl w:val="52FC612C"/>
    <w:lvl w:ilvl="0" w:tentative="0">
      <w:start w:val="1"/>
      <w:numFmt w:val="decimalEnclosedParen"/>
      <w:lvlText w:val="%1"/>
      <w:lvlJc w:val="left"/>
      <w:pPr>
        <w:ind w:left="360" w:hanging="360"/>
      </w:pPr>
      <w:rPr>
        <w:rFonts w:hint="default"/>
      </w:rPr>
    </w:lvl>
    <w:lvl w:ilvl="1" w:tentative="0">
      <w:start w:val="1"/>
      <w:numFmt w:val="lowerLetter"/>
      <w:pStyle w:val="44"/>
      <w:lvlText w:val="%2)"/>
      <w:lvlJc w:val="left"/>
      <w:pPr>
        <w:ind w:left="840" w:hanging="420"/>
      </w:pPr>
    </w:lvl>
    <w:lvl w:ilvl="2" w:tentative="0">
      <w:start w:val="1"/>
      <w:numFmt w:val="lowerRoman"/>
      <w:pStyle w:val="40"/>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QyZjM2NTQ3M2JlNTM5YmM4NGU4NjM4NTRkYmZhYjAifQ=="/>
    <w:docVar w:name="KSO_WPS_MARK_KEY" w:val="b0f5f86f-92c2-4ef9-a31a-d0fade94d63f"/>
  </w:docVars>
  <w:rsids>
    <w:rsidRoot w:val="00E24486"/>
    <w:rsid w:val="00002885"/>
    <w:rsid w:val="0000309C"/>
    <w:rsid w:val="000107E7"/>
    <w:rsid w:val="000131DE"/>
    <w:rsid w:val="000131F8"/>
    <w:rsid w:val="00016513"/>
    <w:rsid w:val="00017667"/>
    <w:rsid w:val="00020E6D"/>
    <w:rsid w:val="00023A68"/>
    <w:rsid w:val="00024036"/>
    <w:rsid w:val="0002418E"/>
    <w:rsid w:val="00024B17"/>
    <w:rsid w:val="00027652"/>
    <w:rsid w:val="0003043A"/>
    <w:rsid w:val="000316EA"/>
    <w:rsid w:val="00031FB3"/>
    <w:rsid w:val="00035924"/>
    <w:rsid w:val="000368E3"/>
    <w:rsid w:val="00036F08"/>
    <w:rsid w:val="00040AE9"/>
    <w:rsid w:val="0004167F"/>
    <w:rsid w:val="00043B79"/>
    <w:rsid w:val="0004458E"/>
    <w:rsid w:val="0004539B"/>
    <w:rsid w:val="00056957"/>
    <w:rsid w:val="00061DC7"/>
    <w:rsid w:val="00071F9B"/>
    <w:rsid w:val="00073471"/>
    <w:rsid w:val="000734EA"/>
    <w:rsid w:val="0007364F"/>
    <w:rsid w:val="00073B70"/>
    <w:rsid w:val="000760E1"/>
    <w:rsid w:val="000762DE"/>
    <w:rsid w:val="00080A62"/>
    <w:rsid w:val="00080AD4"/>
    <w:rsid w:val="0008514F"/>
    <w:rsid w:val="00085BFB"/>
    <w:rsid w:val="00085EA0"/>
    <w:rsid w:val="0008699A"/>
    <w:rsid w:val="0008708E"/>
    <w:rsid w:val="000872DB"/>
    <w:rsid w:val="0009344A"/>
    <w:rsid w:val="000B1692"/>
    <w:rsid w:val="000B20F3"/>
    <w:rsid w:val="000B41EC"/>
    <w:rsid w:val="000B5987"/>
    <w:rsid w:val="000C0AE1"/>
    <w:rsid w:val="000C2C97"/>
    <w:rsid w:val="000C54CC"/>
    <w:rsid w:val="000C604E"/>
    <w:rsid w:val="000D4ACC"/>
    <w:rsid w:val="000D5732"/>
    <w:rsid w:val="000E01B2"/>
    <w:rsid w:val="000E2CDD"/>
    <w:rsid w:val="000E3EA0"/>
    <w:rsid w:val="000E4948"/>
    <w:rsid w:val="000E4EC4"/>
    <w:rsid w:val="000E6739"/>
    <w:rsid w:val="000E6B72"/>
    <w:rsid w:val="000F002F"/>
    <w:rsid w:val="000F5936"/>
    <w:rsid w:val="001004A1"/>
    <w:rsid w:val="00101194"/>
    <w:rsid w:val="00104E84"/>
    <w:rsid w:val="0011002B"/>
    <w:rsid w:val="00110321"/>
    <w:rsid w:val="00112CB9"/>
    <w:rsid w:val="00114CE6"/>
    <w:rsid w:val="00120675"/>
    <w:rsid w:val="00121DCF"/>
    <w:rsid w:val="00125AA7"/>
    <w:rsid w:val="00127471"/>
    <w:rsid w:val="0012795A"/>
    <w:rsid w:val="001331A9"/>
    <w:rsid w:val="001334C4"/>
    <w:rsid w:val="00136737"/>
    <w:rsid w:val="00137D0F"/>
    <w:rsid w:val="0014543D"/>
    <w:rsid w:val="001466F6"/>
    <w:rsid w:val="00147510"/>
    <w:rsid w:val="001479BE"/>
    <w:rsid w:val="00155F41"/>
    <w:rsid w:val="00163694"/>
    <w:rsid w:val="001673E3"/>
    <w:rsid w:val="001702B4"/>
    <w:rsid w:val="00170A71"/>
    <w:rsid w:val="00173FFA"/>
    <w:rsid w:val="0017517E"/>
    <w:rsid w:val="00177AE1"/>
    <w:rsid w:val="001816DA"/>
    <w:rsid w:val="00182140"/>
    <w:rsid w:val="00186F4E"/>
    <w:rsid w:val="00186F7C"/>
    <w:rsid w:val="00192A7A"/>
    <w:rsid w:val="001A2046"/>
    <w:rsid w:val="001A6A10"/>
    <w:rsid w:val="001B081E"/>
    <w:rsid w:val="001B0B12"/>
    <w:rsid w:val="001B0BB2"/>
    <w:rsid w:val="001B2098"/>
    <w:rsid w:val="001B5B3A"/>
    <w:rsid w:val="001B6199"/>
    <w:rsid w:val="001C09E5"/>
    <w:rsid w:val="001C172E"/>
    <w:rsid w:val="001C573D"/>
    <w:rsid w:val="001C5D2A"/>
    <w:rsid w:val="001D1EC8"/>
    <w:rsid w:val="001D3A55"/>
    <w:rsid w:val="001D4719"/>
    <w:rsid w:val="001D5322"/>
    <w:rsid w:val="001D6D10"/>
    <w:rsid w:val="001E1749"/>
    <w:rsid w:val="001E1D55"/>
    <w:rsid w:val="001E5EF3"/>
    <w:rsid w:val="001E6E51"/>
    <w:rsid w:val="001F2E13"/>
    <w:rsid w:val="001F420B"/>
    <w:rsid w:val="001F4799"/>
    <w:rsid w:val="001F634B"/>
    <w:rsid w:val="00205F2D"/>
    <w:rsid w:val="0020753F"/>
    <w:rsid w:val="00210544"/>
    <w:rsid w:val="00211490"/>
    <w:rsid w:val="00211FD5"/>
    <w:rsid w:val="002122BB"/>
    <w:rsid w:val="002123BB"/>
    <w:rsid w:val="00223696"/>
    <w:rsid w:val="00225EFF"/>
    <w:rsid w:val="00226F70"/>
    <w:rsid w:val="00227E7C"/>
    <w:rsid w:val="002304F7"/>
    <w:rsid w:val="002311DD"/>
    <w:rsid w:val="00233112"/>
    <w:rsid w:val="00237C59"/>
    <w:rsid w:val="002412D9"/>
    <w:rsid w:val="0024209E"/>
    <w:rsid w:val="002428FD"/>
    <w:rsid w:val="00246B63"/>
    <w:rsid w:val="002474E7"/>
    <w:rsid w:val="002476BC"/>
    <w:rsid w:val="00247FC6"/>
    <w:rsid w:val="00252C20"/>
    <w:rsid w:val="002558C6"/>
    <w:rsid w:val="00256394"/>
    <w:rsid w:val="00257D52"/>
    <w:rsid w:val="00260441"/>
    <w:rsid w:val="002604A9"/>
    <w:rsid w:val="00260D27"/>
    <w:rsid w:val="00270A56"/>
    <w:rsid w:val="002711B9"/>
    <w:rsid w:val="00271EDA"/>
    <w:rsid w:val="002744D6"/>
    <w:rsid w:val="00274C88"/>
    <w:rsid w:val="00275B77"/>
    <w:rsid w:val="002805A0"/>
    <w:rsid w:val="00280676"/>
    <w:rsid w:val="002808B2"/>
    <w:rsid w:val="002846ED"/>
    <w:rsid w:val="00286648"/>
    <w:rsid w:val="00286B90"/>
    <w:rsid w:val="00291B38"/>
    <w:rsid w:val="0029276F"/>
    <w:rsid w:val="00293FF9"/>
    <w:rsid w:val="00295107"/>
    <w:rsid w:val="002958DD"/>
    <w:rsid w:val="00297AAE"/>
    <w:rsid w:val="002A05AD"/>
    <w:rsid w:val="002A15F8"/>
    <w:rsid w:val="002A2675"/>
    <w:rsid w:val="002A7EA6"/>
    <w:rsid w:val="002B473A"/>
    <w:rsid w:val="002B48CB"/>
    <w:rsid w:val="002C08D7"/>
    <w:rsid w:val="002C295E"/>
    <w:rsid w:val="002C4A7A"/>
    <w:rsid w:val="002C52A6"/>
    <w:rsid w:val="002C6D68"/>
    <w:rsid w:val="002C7733"/>
    <w:rsid w:val="002D5142"/>
    <w:rsid w:val="002E47F0"/>
    <w:rsid w:val="002E6369"/>
    <w:rsid w:val="002E770A"/>
    <w:rsid w:val="002E7C2E"/>
    <w:rsid w:val="002F1DEE"/>
    <w:rsid w:val="002F36A1"/>
    <w:rsid w:val="002F3D6A"/>
    <w:rsid w:val="002F434E"/>
    <w:rsid w:val="002F5DE9"/>
    <w:rsid w:val="002F61B9"/>
    <w:rsid w:val="00301379"/>
    <w:rsid w:val="00301636"/>
    <w:rsid w:val="00302BB5"/>
    <w:rsid w:val="003034B1"/>
    <w:rsid w:val="0030420F"/>
    <w:rsid w:val="00310313"/>
    <w:rsid w:val="003116B6"/>
    <w:rsid w:val="0031243A"/>
    <w:rsid w:val="0031747C"/>
    <w:rsid w:val="00317A2B"/>
    <w:rsid w:val="0032105E"/>
    <w:rsid w:val="0032156B"/>
    <w:rsid w:val="003215E1"/>
    <w:rsid w:val="00321690"/>
    <w:rsid w:val="00321C89"/>
    <w:rsid w:val="00322929"/>
    <w:rsid w:val="0032308C"/>
    <w:rsid w:val="003235FF"/>
    <w:rsid w:val="00334BF7"/>
    <w:rsid w:val="00336608"/>
    <w:rsid w:val="00351AFA"/>
    <w:rsid w:val="0035446E"/>
    <w:rsid w:val="003565E8"/>
    <w:rsid w:val="00357F2C"/>
    <w:rsid w:val="00361523"/>
    <w:rsid w:val="00365644"/>
    <w:rsid w:val="00371B84"/>
    <w:rsid w:val="0037205C"/>
    <w:rsid w:val="003739E4"/>
    <w:rsid w:val="00374CDF"/>
    <w:rsid w:val="003751F8"/>
    <w:rsid w:val="00375A41"/>
    <w:rsid w:val="003844EF"/>
    <w:rsid w:val="00393165"/>
    <w:rsid w:val="00396836"/>
    <w:rsid w:val="00396CA1"/>
    <w:rsid w:val="003A19E1"/>
    <w:rsid w:val="003A2A84"/>
    <w:rsid w:val="003A3E12"/>
    <w:rsid w:val="003A489F"/>
    <w:rsid w:val="003B6512"/>
    <w:rsid w:val="003B7B7B"/>
    <w:rsid w:val="003C0EE2"/>
    <w:rsid w:val="003C1932"/>
    <w:rsid w:val="003C3031"/>
    <w:rsid w:val="003C6E70"/>
    <w:rsid w:val="003D213C"/>
    <w:rsid w:val="003D321F"/>
    <w:rsid w:val="003D367E"/>
    <w:rsid w:val="003D3D9A"/>
    <w:rsid w:val="003E0557"/>
    <w:rsid w:val="003E31A2"/>
    <w:rsid w:val="003E59AB"/>
    <w:rsid w:val="003E5C07"/>
    <w:rsid w:val="003E616A"/>
    <w:rsid w:val="003E6597"/>
    <w:rsid w:val="003F2AC4"/>
    <w:rsid w:val="003F3CFB"/>
    <w:rsid w:val="003F4080"/>
    <w:rsid w:val="003F4DC8"/>
    <w:rsid w:val="003F5135"/>
    <w:rsid w:val="00400BE7"/>
    <w:rsid w:val="0040370A"/>
    <w:rsid w:val="00405648"/>
    <w:rsid w:val="00405EA8"/>
    <w:rsid w:val="00412CCB"/>
    <w:rsid w:val="004136D9"/>
    <w:rsid w:val="00416B8C"/>
    <w:rsid w:val="004176FC"/>
    <w:rsid w:val="004233FA"/>
    <w:rsid w:val="00423D44"/>
    <w:rsid w:val="004253A1"/>
    <w:rsid w:val="00425A89"/>
    <w:rsid w:val="00430C44"/>
    <w:rsid w:val="00432073"/>
    <w:rsid w:val="00434949"/>
    <w:rsid w:val="00435AAD"/>
    <w:rsid w:val="00435C2E"/>
    <w:rsid w:val="0044722C"/>
    <w:rsid w:val="00451FF6"/>
    <w:rsid w:val="004556C6"/>
    <w:rsid w:val="00456EE4"/>
    <w:rsid w:val="004610F1"/>
    <w:rsid w:val="0046234F"/>
    <w:rsid w:val="0046590C"/>
    <w:rsid w:val="0046646B"/>
    <w:rsid w:val="00470E29"/>
    <w:rsid w:val="00471952"/>
    <w:rsid w:val="00474C5E"/>
    <w:rsid w:val="004759DD"/>
    <w:rsid w:val="00475C36"/>
    <w:rsid w:val="004765A9"/>
    <w:rsid w:val="00481E48"/>
    <w:rsid w:val="00484038"/>
    <w:rsid w:val="004845A0"/>
    <w:rsid w:val="00484815"/>
    <w:rsid w:val="0048744A"/>
    <w:rsid w:val="004903F8"/>
    <w:rsid w:val="0049391F"/>
    <w:rsid w:val="00494974"/>
    <w:rsid w:val="00495361"/>
    <w:rsid w:val="00496392"/>
    <w:rsid w:val="004A6CE8"/>
    <w:rsid w:val="004B1698"/>
    <w:rsid w:val="004B17AA"/>
    <w:rsid w:val="004B3E85"/>
    <w:rsid w:val="004B4A76"/>
    <w:rsid w:val="004B5A07"/>
    <w:rsid w:val="004B7B2E"/>
    <w:rsid w:val="004C2FBC"/>
    <w:rsid w:val="004C64AC"/>
    <w:rsid w:val="004C6CE4"/>
    <w:rsid w:val="004C7512"/>
    <w:rsid w:val="004C78E1"/>
    <w:rsid w:val="004E07C3"/>
    <w:rsid w:val="004E376C"/>
    <w:rsid w:val="004E61AA"/>
    <w:rsid w:val="004F0FF6"/>
    <w:rsid w:val="004F164B"/>
    <w:rsid w:val="004F2045"/>
    <w:rsid w:val="004F70EA"/>
    <w:rsid w:val="00501B37"/>
    <w:rsid w:val="00501C7A"/>
    <w:rsid w:val="005028E6"/>
    <w:rsid w:val="00505117"/>
    <w:rsid w:val="005053A3"/>
    <w:rsid w:val="00505631"/>
    <w:rsid w:val="00506F94"/>
    <w:rsid w:val="005100EB"/>
    <w:rsid w:val="00511079"/>
    <w:rsid w:val="00512184"/>
    <w:rsid w:val="0051579D"/>
    <w:rsid w:val="005205AB"/>
    <w:rsid w:val="0052373B"/>
    <w:rsid w:val="00526E28"/>
    <w:rsid w:val="00527484"/>
    <w:rsid w:val="00530B06"/>
    <w:rsid w:val="00531947"/>
    <w:rsid w:val="00533580"/>
    <w:rsid w:val="0053713D"/>
    <w:rsid w:val="00537165"/>
    <w:rsid w:val="0054133D"/>
    <w:rsid w:val="00544CF6"/>
    <w:rsid w:val="00544DA5"/>
    <w:rsid w:val="005472FA"/>
    <w:rsid w:val="005537A4"/>
    <w:rsid w:val="00554353"/>
    <w:rsid w:val="0055560C"/>
    <w:rsid w:val="00555AA5"/>
    <w:rsid w:val="00556E1F"/>
    <w:rsid w:val="00557A5E"/>
    <w:rsid w:val="005634EA"/>
    <w:rsid w:val="005657D0"/>
    <w:rsid w:val="00565CD1"/>
    <w:rsid w:val="005666E7"/>
    <w:rsid w:val="0056698A"/>
    <w:rsid w:val="00571B22"/>
    <w:rsid w:val="005724E3"/>
    <w:rsid w:val="0057394A"/>
    <w:rsid w:val="005751F9"/>
    <w:rsid w:val="005752DD"/>
    <w:rsid w:val="005809F4"/>
    <w:rsid w:val="00585C8F"/>
    <w:rsid w:val="00585E30"/>
    <w:rsid w:val="00587A6A"/>
    <w:rsid w:val="00593D36"/>
    <w:rsid w:val="005959E9"/>
    <w:rsid w:val="005A000D"/>
    <w:rsid w:val="005A0270"/>
    <w:rsid w:val="005A17F0"/>
    <w:rsid w:val="005A2730"/>
    <w:rsid w:val="005A349F"/>
    <w:rsid w:val="005A5890"/>
    <w:rsid w:val="005A5FB7"/>
    <w:rsid w:val="005B07EA"/>
    <w:rsid w:val="005B189B"/>
    <w:rsid w:val="005B2FEB"/>
    <w:rsid w:val="005B3324"/>
    <w:rsid w:val="005B343E"/>
    <w:rsid w:val="005B718A"/>
    <w:rsid w:val="005C0EEC"/>
    <w:rsid w:val="005C1B91"/>
    <w:rsid w:val="005C1C61"/>
    <w:rsid w:val="005C2C3A"/>
    <w:rsid w:val="005C44F6"/>
    <w:rsid w:val="005C58F4"/>
    <w:rsid w:val="005D1CAC"/>
    <w:rsid w:val="005D2DFA"/>
    <w:rsid w:val="005D75B8"/>
    <w:rsid w:val="005E05A8"/>
    <w:rsid w:val="005E232E"/>
    <w:rsid w:val="005E3885"/>
    <w:rsid w:val="005F55B8"/>
    <w:rsid w:val="005F7A21"/>
    <w:rsid w:val="0060077B"/>
    <w:rsid w:val="00600E16"/>
    <w:rsid w:val="00601F80"/>
    <w:rsid w:val="00613018"/>
    <w:rsid w:val="00621D42"/>
    <w:rsid w:val="00625A7B"/>
    <w:rsid w:val="00634C64"/>
    <w:rsid w:val="00641F65"/>
    <w:rsid w:val="006470D6"/>
    <w:rsid w:val="00647C88"/>
    <w:rsid w:val="00652630"/>
    <w:rsid w:val="00653FD4"/>
    <w:rsid w:val="006544E1"/>
    <w:rsid w:val="00657DFD"/>
    <w:rsid w:val="006669AD"/>
    <w:rsid w:val="0067414D"/>
    <w:rsid w:val="00674EC2"/>
    <w:rsid w:val="0067561F"/>
    <w:rsid w:val="00675BEC"/>
    <w:rsid w:val="00677B5C"/>
    <w:rsid w:val="0068005C"/>
    <w:rsid w:val="00681197"/>
    <w:rsid w:val="00682854"/>
    <w:rsid w:val="00684250"/>
    <w:rsid w:val="00687B60"/>
    <w:rsid w:val="006939A7"/>
    <w:rsid w:val="00693C37"/>
    <w:rsid w:val="00694DF0"/>
    <w:rsid w:val="00695F2D"/>
    <w:rsid w:val="006A0EA1"/>
    <w:rsid w:val="006A123E"/>
    <w:rsid w:val="006A2EDC"/>
    <w:rsid w:val="006A4CDD"/>
    <w:rsid w:val="006A5E6F"/>
    <w:rsid w:val="006B0816"/>
    <w:rsid w:val="006B16F4"/>
    <w:rsid w:val="006B37A5"/>
    <w:rsid w:val="006B6C88"/>
    <w:rsid w:val="006C7EB1"/>
    <w:rsid w:val="006D07F4"/>
    <w:rsid w:val="006D2705"/>
    <w:rsid w:val="006D3437"/>
    <w:rsid w:val="006D48F3"/>
    <w:rsid w:val="006D65FB"/>
    <w:rsid w:val="006E0369"/>
    <w:rsid w:val="006E28C9"/>
    <w:rsid w:val="006E3A57"/>
    <w:rsid w:val="006E4B14"/>
    <w:rsid w:val="006E603C"/>
    <w:rsid w:val="006E65FC"/>
    <w:rsid w:val="006E69F2"/>
    <w:rsid w:val="006E7E5E"/>
    <w:rsid w:val="006F0653"/>
    <w:rsid w:val="006F0AF3"/>
    <w:rsid w:val="006F0AF8"/>
    <w:rsid w:val="006F30CA"/>
    <w:rsid w:val="006F5DB6"/>
    <w:rsid w:val="006F6739"/>
    <w:rsid w:val="006F76DF"/>
    <w:rsid w:val="00703384"/>
    <w:rsid w:val="00703BDB"/>
    <w:rsid w:val="00705257"/>
    <w:rsid w:val="00707166"/>
    <w:rsid w:val="0071199E"/>
    <w:rsid w:val="007135F8"/>
    <w:rsid w:val="007169F2"/>
    <w:rsid w:val="0071739D"/>
    <w:rsid w:val="00721C69"/>
    <w:rsid w:val="00723E1B"/>
    <w:rsid w:val="00724FA9"/>
    <w:rsid w:val="007262E2"/>
    <w:rsid w:val="007267CC"/>
    <w:rsid w:val="00727AF1"/>
    <w:rsid w:val="00727C10"/>
    <w:rsid w:val="0073054E"/>
    <w:rsid w:val="00731340"/>
    <w:rsid w:val="00732835"/>
    <w:rsid w:val="00734DDB"/>
    <w:rsid w:val="00735ACB"/>
    <w:rsid w:val="007412AA"/>
    <w:rsid w:val="007471E2"/>
    <w:rsid w:val="007505DE"/>
    <w:rsid w:val="007512B9"/>
    <w:rsid w:val="00753055"/>
    <w:rsid w:val="00755739"/>
    <w:rsid w:val="0075634E"/>
    <w:rsid w:val="007567FA"/>
    <w:rsid w:val="00756D2A"/>
    <w:rsid w:val="007609DD"/>
    <w:rsid w:val="0076127D"/>
    <w:rsid w:val="00764F0C"/>
    <w:rsid w:val="00770526"/>
    <w:rsid w:val="0077237A"/>
    <w:rsid w:val="00772947"/>
    <w:rsid w:val="00773D67"/>
    <w:rsid w:val="0077445A"/>
    <w:rsid w:val="007759C4"/>
    <w:rsid w:val="00775A0F"/>
    <w:rsid w:val="00780D3D"/>
    <w:rsid w:val="007817D1"/>
    <w:rsid w:val="00785771"/>
    <w:rsid w:val="0078710E"/>
    <w:rsid w:val="00794044"/>
    <w:rsid w:val="007A122F"/>
    <w:rsid w:val="007A158F"/>
    <w:rsid w:val="007A4777"/>
    <w:rsid w:val="007A6149"/>
    <w:rsid w:val="007A6D4B"/>
    <w:rsid w:val="007B403E"/>
    <w:rsid w:val="007B60F3"/>
    <w:rsid w:val="007C0904"/>
    <w:rsid w:val="007C2A3F"/>
    <w:rsid w:val="007C6724"/>
    <w:rsid w:val="007D12CF"/>
    <w:rsid w:val="007D3D29"/>
    <w:rsid w:val="007D4129"/>
    <w:rsid w:val="007D46DF"/>
    <w:rsid w:val="007D586D"/>
    <w:rsid w:val="007D749A"/>
    <w:rsid w:val="007E1BB0"/>
    <w:rsid w:val="007E2D25"/>
    <w:rsid w:val="007E3BE5"/>
    <w:rsid w:val="007E591A"/>
    <w:rsid w:val="007F1600"/>
    <w:rsid w:val="007F28F8"/>
    <w:rsid w:val="008012CC"/>
    <w:rsid w:val="008025A6"/>
    <w:rsid w:val="00802C3F"/>
    <w:rsid w:val="00806895"/>
    <w:rsid w:val="008139F8"/>
    <w:rsid w:val="00816D6C"/>
    <w:rsid w:val="00820369"/>
    <w:rsid w:val="0082202F"/>
    <w:rsid w:val="008327B2"/>
    <w:rsid w:val="00834A82"/>
    <w:rsid w:val="00835E01"/>
    <w:rsid w:val="00855254"/>
    <w:rsid w:val="00860B2D"/>
    <w:rsid w:val="008614B7"/>
    <w:rsid w:val="00861739"/>
    <w:rsid w:val="0086250D"/>
    <w:rsid w:val="00865A98"/>
    <w:rsid w:val="008711E6"/>
    <w:rsid w:val="008772A4"/>
    <w:rsid w:val="00877F36"/>
    <w:rsid w:val="00880049"/>
    <w:rsid w:val="00880BE2"/>
    <w:rsid w:val="0088158F"/>
    <w:rsid w:val="00882C45"/>
    <w:rsid w:val="00884A59"/>
    <w:rsid w:val="00885514"/>
    <w:rsid w:val="00886E98"/>
    <w:rsid w:val="00887783"/>
    <w:rsid w:val="00891082"/>
    <w:rsid w:val="0089182B"/>
    <w:rsid w:val="008930CE"/>
    <w:rsid w:val="00895B7C"/>
    <w:rsid w:val="00895E67"/>
    <w:rsid w:val="00897545"/>
    <w:rsid w:val="008A0ADF"/>
    <w:rsid w:val="008A3A72"/>
    <w:rsid w:val="008A3D21"/>
    <w:rsid w:val="008B0D9E"/>
    <w:rsid w:val="008B52FC"/>
    <w:rsid w:val="008B5ED9"/>
    <w:rsid w:val="008B64D9"/>
    <w:rsid w:val="008C34D5"/>
    <w:rsid w:val="008C3BAE"/>
    <w:rsid w:val="008C4313"/>
    <w:rsid w:val="008C60D1"/>
    <w:rsid w:val="008D11AC"/>
    <w:rsid w:val="008D14CA"/>
    <w:rsid w:val="008D5DA4"/>
    <w:rsid w:val="008D6200"/>
    <w:rsid w:val="008E01E6"/>
    <w:rsid w:val="008E04BB"/>
    <w:rsid w:val="008E052F"/>
    <w:rsid w:val="008E3212"/>
    <w:rsid w:val="008E4C88"/>
    <w:rsid w:val="008E50B8"/>
    <w:rsid w:val="008E534C"/>
    <w:rsid w:val="008E5498"/>
    <w:rsid w:val="008E63FC"/>
    <w:rsid w:val="008E75AD"/>
    <w:rsid w:val="008F10F4"/>
    <w:rsid w:val="008F1F24"/>
    <w:rsid w:val="008F3A1A"/>
    <w:rsid w:val="008F3B61"/>
    <w:rsid w:val="00904FCD"/>
    <w:rsid w:val="00905C4B"/>
    <w:rsid w:val="00905DD3"/>
    <w:rsid w:val="009066C4"/>
    <w:rsid w:val="00907324"/>
    <w:rsid w:val="00917C0E"/>
    <w:rsid w:val="00920A86"/>
    <w:rsid w:val="00920E9C"/>
    <w:rsid w:val="009228E7"/>
    <w:rsid w:val="009235C5"/>
    <w:rsid w:val="00930052"/>
    <w:rsid w:val="00931179"/>
    <w:rsid w:val="00931239"/>
    <w:rsid w:val="00931780"/>
    <w:rsid w:val="009325D2"/>
    <w:rsid w:val="00935F2F"/>
    <w:rsid w:val="00941300"/>
    <w:rsid w:val="00943055"/>
    <w:rsid w:val="009459ED"/>
    <w:rsid w:val="00952232"/>
    <w:rsid w:val="00952CE4"/>
    <w:rsid w:val="00955D59"/>
    <w:rsid w:val="0095607A"/>
    <w:rsid w:val="00956DD1"/>
    <w:rsid w:val="00957547"/>
    <w:rsid w:val="00962F43"/>
    <w:rsid w:val="00965748"/>
    <w:rsid w:val="00972B71"/>
    <w:rsid w:val="009736A3"/>
    <w:rsid w:val="00973B7F"/>
    <w:rsid w:val="009756A2"/>
    <w:rsid w:val="00991FC4"/>
    <w:rsid w:val="00992228"/>
    <w:rsid w:val="00992917"/>
    <w:rsid w:val="009931B1"/>
    <w:rsid w:val="0099519F"/>
    <w:rsid w:val="009966B1"/>
    <w:rsid w:val="00997BFB"/>
    <w:rsid w:val="009A01C8"/>
    <w:rsid w:val="009A11A9"/>
    <w:rsid w:val="009A3C7C"/>
    <w:rsid w:val="009A6B2E"/>
    <w:rsid w:val="009A6CDB"/>
    <w:rsid w:val="009B16E7"/>
    <w:rsid w:val="009B21D5"/>
    <w:rsid w:val="009B3189"/>
    <w:rsid w:val="009B4164"/>
    <w:rsid w:val="009B43C8"/>
    <w:rsid w:val="009B510D"/>
    <w:rsid w:val="009B567C"/>
    <w:rsid w:val="009B5D82"/>
    <w:rsid w:val="009B63E5"/>
    <w:rsid w:val="009B7950"/>
    <w:rsid w:val="009C7AD6"/>
    <w:rsid w:val="009D003F"/>
    <w:rsid w:val="009D1A9A"/>
    <w:rsid w:val="009D1F4E"/>
    <w:rsid w:val="009E026C"/>
    <w:rsid w:val="009E0DB5"/>
    <w:rsid w:val="009E1830"/>
    <w:rsid w:val="009E3478"/>
    <w:rsid w:val="009E6140"/>
    <w:rsid w:val="009E6408"/>
    <w:rsid w:val="009E7F0E"/>
    <w:rsid w:val="009F45D2"/>
    <w:rsid w:val="009F6EFB"/>
    <w:rsid w:val="00A00384"/>
    <w:rsid w:val="00A0120C"/>
    <w:rsid w:val="00A039FD"/>
    <w:rsid w:val="00A03EA7"/>
    <w:rsid w:val="00A10911"/>
    <w:rsid w:val="00A112C5"/>
    <w:rsid w:val="00A148C3"/>
    <w:rsid w:val="00A16387"/>
    <w:rsid w:val="00A174B0"/>
    <w:rsid w:val="00A24AE2"/>
    <w:rsid w:val="00A24F32"/>
    <w:rsid w:val="00A251F0"/>
    <w:rsid w:val="00A3194C"/>
    <w:rsid w:val="00A31F37"/>
    <w:rsid w:val="00A3350D"/>
    <w:rsid w:val="00A356EB"/>
    <w:rsid w:val="00A36356"/>
    <w:rsid w:val="00A369BE"/>
    <w:rsid w:val="00A40467"/>
    <w:rsid w:val="00A419D2"/>
    <w:rsid w:val="00A42F85"/>
    <w:rsid w:val="00A44406"/>
    <w:rsid w:val="00A47B98"/>
    <w:rsid w:val="00A51489"/>
    <w:rsid w:val="00A52F1C"/>
    <w:rsid w:val="00A52FC3"/>
    <w:rsid w:val="00A54C38"/>
    <w:rsid w:val="00A60991"/>
    <w:rsid w:val="00A64304"/>
    <w:rsid w:val="00A668B2"/>
    <w:rsid w:val="00A6792B"/>
    <w:rsid w:val="00A7157B"/>
    <w:rsid w:val="00A7441A"/>
    <w:rsid w:val="00A76F77"/>
    <w:rsid w:val="00A777ED"/>
    <w:rsid w:val="00A82379"/>
    <w:rsid w:val="00A8311F"/>
    <w:rsid w:val="00A92274"/>
    <w:rsid w:val="00A93E6E"/>
    <w:rsid w:val="00A96BBF"/>
    <w:rsid w:val="00AA0E10"/>
    <w:rsid w:val="00AA203A"/>
    <w:rsid w:val="00AA60E6"/>
    <w:rsid w:val="00AB0992"/>
    <w:rsid w:val="00AB0AD9"/>
    <w:rsid w:val="00AB1239"/>
    <w:rsid w:val="00AB1F85"/>
    <w:rsid w:val="00AB3C61"/>
    <w:rsid w:val="00AB5096"/>
    <w:rsid w:val="00AB70D1"/>
    <w:rsid w:val="00AB7E1C"/>
    <w:rsid w:val="00AC42A9"/>
    <w:rsid w:val="00AD0066"/>
    <w:rsid w:val="00AD092C"/>
    <w:rsid w:val="00AD0BD1"/>
    <w:rsid w:val="00AD127D"/>
    <w:rsid w:val="00AE1A75"/>
    <w:rsid w:val="00AE1E94"/>
    <w:rsid w:val="00AE71A2"/>
    <w:rsid w:val="00AF0629"/>
    <w:rsid w:val="00AF22F2"/>
    <w:rsid w:val="00AF73C7"/>
    <w:rsid w:val="00B02DF1"/>
    <w:rsid w:val="00B0330A"/>
    <w:rsid w:val="00B03830"/>
    <w:rsid w:val="00B03C99"/>
    <w:rsid w:val="00B05D75"/>
    <w:rsid w:val="00B062B0"/>
    <w:rsid w:val="00B1124E"/>
    <w:rsid w:val="00B11B85"/>
    <w:rsid w:val="00B164E0"/>
    <w:rsid w:val="00B17B55"/>
    <w:rsid w:val="00B23B3B"/>
    <w:rsid w:val="00B2543B"/>
    <w:rsid w:val="00B320CA"/>
    <w:rsid w:val="00B32FD9"/>
    <w:rsid w:val="00B36161"/>
    <w:rsid w:val="00B4016C"/>
    <w:rsid w:val="00B466D8"/>
    <w:rsid w:val="00B50215"/>
    <w:rsid w:val="00B50DAE"/>
    <w:rsid w:val="00B52ACC"/>
    <w:rsid w:val="00B55FF3"/>
    <w:rsid w:val="00B6441D"/>
    <w:rsid w:val="00B673B5"/>
    <w:rsid w:val="00B74FF5"/>
    <w:rsid w:val="00B75844"/>
    <w:rsid w:val="00B75CAA"/>
    <w:rsid w:val="00B75FA5"/>
    <w:rsid w:val="00B76717"/>
    <w:rsid w:val="00B80631"/>
    <w:rsid w:val="00B82BE9"/>
    <w:rsid w:val="00B92251"/>
    <w:rsid w:val="00B939F8"/>
    <w:rsid w:val="00B95FB6"/>
    <w:rsid w:val="00B966A3"/>
    <w:rsid w:val="00B96721"/>
    <w:rsid w:val="00BA186E"/>
    <w:rsid w:val="00BA28FB"/>
    <w:rsid w:val="00BA443A"/>
    <w:rsid w:val="00BA4D0D"/>
    <w:rsid w:val="00BA5FEC"/>
    <w:rsid w:val="00BB7E5B"/>
    <w:rsid w:val="00BC015B"/>
    <w:rsid w:val="00BC33A6"/>
    <w:rsid w:val="00BC42BD"/>
    <w:rsid w:val="00BC4532"/>
    <w:rsid w:val="00BC636A"/>
    <w:rsid w:val="00BD0948"/>
    <w:rsid w:val="00BD2CCF"/>
    <w:rsid w:val="00BD74C9"/>
    <w:rsid w:val="00BE3D89"/>
    <w:rsid w:val="00BE3F9D"/>
    <w:rsid w:val="00BE6E25"/>
    <w:rsid w:val="00BF2BDA"/>
    <w:rsid w:val="00C034E8"/>
    <w:rsid w:val="00C04128"/>
    <w:rsid w:val="00C10EDF"/>
    <w:rsid w:val="00C12057"/>
    <w:rsid w:val="00C14786"/>
    <w:rsid w:val="00C14F82"/>
    <w:rsid w:val="00C20EAF"/>
    <w:rsid w:val="00C2106A"/>
    <w:rsid w:val="00C21808"/>
    <w:rsid w:val="00C21B9B"/>
    <w:rsid w:val="00C21F80"/>
    <w:rsid w:val="00C26B83"/>
    <w:rsid w:val="00C26CA0"/>
    <w:rsid w:val="00C27B58"/>
    <w:rsid w:val="00C32A7D"/>
    <w:rsid w:val="00C34227"/>
    <w:rsid w:val="00C35BAA"/>
    <w:rsid w:val="00C407B5"/>
    <w:rsid w:val="00C4170A"/>
    <w:rsid w:val="00C45B8E"/>
    <w:rsid w:val="00C5087E"/>
    <w:rsid w:val="00C515B4"/>
    <w:rsid w:val="00C537AB"/>
    <w:rsid w:val="00C53C3A"/>
    <w:rsid w:val="00C61097"/>
    <w:rsid w:val="00C665E2"/>
    <w:rsid w:val="00C6740A"/>
    <w:rsid w:val="00C67E1C"/>
    <w:rsid w:val="00C719EF"/>
    <w:rsid w:val="00C739CF"/>
    <w:rsid w:val="00C74570"/>
    <w:rsid w:val="00C8117C"/>
    <w:rsid w:val="00C81E84"/>
    <w:rsid w:val="00C85B7D"/>
    <w:rsid w:val="00C873B7"/>
    <w:rsid w:val="00C87605"/>
    <w:rsid w:val="00C878C5"/>
    <w:rsid w:val="00C90BFC"/>
    <w:rsid w:val="00C938B1"/>
    <w:rsid w:val="00C9428E"/>
    <w:rsid w:val="00C94C4C"/>
    <w:rsid w:val="00C9509B"/>
    <w:rsid w:val="00C9580F"/>
    <w:rsid w:val="00C96985"/>
    <w:rsid w:val="00C96F19"/>
    <w:rsid w:val="00CA1F5A"/>
    <w:rsid w:val="00CA2D41"/>
    <w:rsid w:val="00CA5075"/>
    <w:rsid w:val="00CA58E9"/>
    <w:rsid w:val="00CA7144"/>
    <w:rsid w:val="00CB0711"/>
    <w:rsid w:val="00CB206B"/>
    <w:rsid w:val="00CB346D"/>
    <w:rsid w:val="00CB45B8"/>
    <w:rsid w:val="00CB5696"/>
    <w:rsid w:val="00CC386B"/>
    <w:rsid w:val="00CC7E0C"/>
    <w:rsid w:val="00CD1FC0"/>
    <w:rsid w:val="00CD3DC4"/>
    <w:rsid w:val="00CD53BF"/>
    <w:rsid w:val="00CD6387"/>
    <w:rsid w:val="00CD63FA"/>
    <w:rsid w:val="00CD7381"/>
    <w:rsid w:val="00CD7E98"/>
    <w:rsid w:val="00CE2C01"/>
    <w:rsid w:val="00CE34DF"/>
    <w:rsid w:val="00CE62D8"/>
    <w:rsid w:val="00CF0057"/>
    <w:rsid w:val="00CF1660"/>
    <w:rsid w:val="00CF3445"/>
    <w:rsid w:val="00CF6585"/>
    <w:rsid w:val="00CF6DC2"/>
    <w:rsid w:val="00D00B70"/>
    <w:rsid w:val="00D00B89"/>
    <w:rsid w:val="00D01671"/>
    <w:rsid w:val="00D021FE"/>
    <w:rsid w:val="00D0476C"/>
    <w:rsid w:val="00D0502D"/>
    <w:rsid w:val="00D0669C"/>
    <w:rsid w:val="00D17D15"/>
    <w:rsid w:val="00D22819"/>
    <w:rsid w:val="00D22869"/>
    <w:rsid w:val="00D22C63"/>
    <w:rsid w:val="00D23AB0"/>
    <w:rsid w:val="00D248F8"/>
    <w:rsid w:val="00D24E2E"/>
    <w:rsid w:val="00D252DE"/>
    <w:rsid w:val="00D27E8E"/>
    <w:rsid w:val="00D323D2"/>
    <w:rsid w:val="00D36B7D"/>
    <w:rsid w:val="00D44AF5"/>
    <w:rsid w:val="00D47554"/>
    <w:rsid w:val="00D52645"/>
    <w:rsid w:val="00D53DAD"/>
    <w:rsid w:val="00D63C64"/>
    <w:rsid w:val="00D648BA"/>
    <w:rsid w:val="00D64BCA"/>
    <w:rsid w:val="00D64C3D"/>
    <w:rsid w:val="00D667A7"/>
    <w:rsid w:val="00D72865"/>
    <w:rsid w:val="00D728EC"/>
    <w:rsid w:val="00D744E7"/>
    <w:rsid w:val="00D763F9"/>
    <w:rsid w:val="00D82DEE"/>
    <w:rsid w:val="00D85B1C"/>
    <w:rsid w:val="00D86F00"/>
    <w:rsid w:val="00D92ABF"/>
    <w:rsid w:val="00D93A2A"/>
    <w:rsid w:val="00D948DD"/>
    <w:rsid w:val="00D94CFD"/>
    <w:rsid w:val="00D96D56"/>
    <w:rsid w:val="00DA5D20"/>
    <w:rsid w:val="00DA6330"/>
    <w:rsid w:val="00DA6B50"/>
    <w:rsid w:val="00DB1680"/>
    <w:rsid w:val="00DB4964"/>
    <w:rsid w:val="00DB5697"/>
    <w:rsid w:val="00DB5CF0"/>
    <w:rsid w:val="00DB7EE5"/>
    <w:rsid w:val="00DC1D84"/>
    <w:rsid w:val="00DC7827"/>
    <w:rsid w:val="00DD2D8A"/>
    <w:rsid w:val="00DE176C"/>
    <w:rsid w:val="00DE1EBE"/>
    <w:rsid w:val="00DE2F03"/>
    <w:rsid w:val="00DE6198"/>
    <w:rsid w:val="00DE6C01"/>
    <w:rsid w:val="00DF1295"/>
    <w:rsid w:val="00DF1879"/>
    <w:rsid w:val="00DF45E6"/>
    <w:rsid w:val="00E01F5D"/>
    <w:rsid w:val="00E076C6"/>
    <w:rsid w:val="00E24486"/>
    <w:rsid w:val="00E264A5"/>
    <w:rsid w:val="00E32372"/>
    <w:rsid w:val="00E34053"/>
    <w:rsid w:val="00E34873"/>
    <w:rsid w:val="00E350CE"/>
    <w:rsid w:val="00E35F63"/>
    <w:rsid w:val="00E36FE9"/>
    <w:rsid w:val="00E37681"/>
    <w:rsid w:val="00E43E99"/>
    <w:rsid w:val="00E45746"/>
    <w:rsid w:val="00E46352"/>
    <w:rsid w:val="00E5105A"/>
    <w:rsid w:val="00E52DEC"/>
    <w:rsid w:val="00E6484D"/>
    <w:rsid w:val="00E6490C"/>
    <w:rsid w:val="00E66C3F"/>
    <w:rsid w:val="00E67340"/>
    <w:rsid w:val="00E72202"/>
    <w:rsid w:val="00E7227C"/>
    <w:rsid w:val="00E75C4B"/>
    <w:rsid w:val="00E765C8"/>
    <w:rsid w:val="00E8039E"/>
    <w:rsid w:val="00E81D08"/>
    <w:rsid w:val="00E8237B"/>
    <w:rsid w:val="00E83CED"/>
    <w:rsid w:val="00E847CE"/>
    <w:rsid w:val="00E9477A"/>
    <w:rsid w:val="00E9562D"/>
    <w:rsid w:val="00EA5B48"/>
    <w:rsid w:val="00EB0275"/>
    <w:rsid w:val="00EC27C0"/>
    <w:rsid w:val="00EC5C4C"/>
    <w:rsid w:val="00EC6D75"/>
    <w:rsid w:val="00ED0B7C"/>
    <w:rsid w:val="00ED235D"/>
    <w:rsid w:val="00ED25D2"/>
    <w:rsid w:val="00ED7049"/>
    <w:rsid w:val="00ED7063"/>
    <w:rsid w:val="00EE40C7"/>
    <w:rsid w:val="00EE4E26"/>
    <w:rsid w:val="00EE5D7C"/>
    <w:rsid w:val="00EF1086"/>
    <w:rsid w:val="00EF3FF9"/>
    <w:rsid w:val="00EF4635"/>
    <w:rsid w:val="00F006A6"/>
    <w:rsid w:val="00F0219A"/>
    <w:rsid w:val="00F12D3F"/>
    <w:rsid w:val="00F175D5"/>
    <w:rsid w:val="00F2141C"/>
    <w:rsid w:val="00F25C67"/>
    <w:rsid w:val="00F2786B"/>
    <w:rsid w:val="00F3179C"/>
    <w:rsid w:val="00F36E9E"/>
    <w:rsid w:val="00F4035A"/>
    <w:rsid w:val="00F4350F"/>
    <w:rsid w:val="00F46054"/>
    <w:rsid w:val="00F47020"/>
    <w:rsid w:val="00F50C64"/>
    <w:rsid w:val="00F50D68"/>
    <w:rsid w:val="00F55244"/>
    <w:rsid w:val="00F73014"/>
    <w:rsid w:val="00F82F30"/>
    <w:rsid w:val="00F864EE"/>
    <w:rsid w:val="00F86E38"/>
    <w:rsid w:val="00F8762A"/>
    <w:rsid w:val="00F876C7"/>
    <w:rsid w:val="00F906C8"/>
    <w:rsid w:val="00F90E67"/>
    <w:rsid w:val="00F91B64"/>
    <w:rsid w:val="00F92F54"/>
    <w:rsid w:val="00F93332"/>
    <w:rsid w:val="00F9644B"/>
    <w:rsid w:val="00FA29AF"/>
    <w:rsid w:val="00FA5B6C"/>
    <w:rsid w:val="00FB0C54"/>
    <w:rsid w:val="00FB1DF7"/>
    <w:rsid w:val="00FB5981"/>
    <w:rsid w:val="00FB6665"/>
    <w:rsid w:val="00FB7A3E"/>
    <w:rsid w:val="00FC3379"/>
    <w:rsid w:val="00FC42D3"/>
    <w:rsid w:val="00FC4EFD"/>
    <w:rsid w:val="00FC76E2"/>
    <w:rsid w:val="00FD1E77"/>
    <w:rsid w:val="00FD3135"/>
    <w:rsid w:val="00FD5D45"/>
    <w:rsid w:val="00FD6241"/>
    <w:rsid w:val="00FD7C5C"/>
    <w:rsid w:val="00FE0CB5"/>
    <w:rsid w:val="00FE0F75"/>
    <w:rsid w:val="00FE3484"/>
    <w:rsid w:val="00FE401B"/>
    <w:rsid w:val="00FE7E9D"/>
    <w:rsid w:val="00FF011F"/>
    <w:rsid w:val="00FF3BB2"/>
    <w:rsid w:val="00FF593A"/>
    <w:rsid w:val="00FF7536"/>
    <w:rsid w:val="00FF7EA3"/>
    <w:rsid w:val="085C1CCE"/>
    <w:rsid w:val="0C2D7939"/>
    <w:rsid w:val="14F67CF1"/>
    <w:rsid w:val="162E461F"/>
    <w:rsid w:val="17865D3A"/>
    <w:rsid w:val="22D770C1"/>
    <w:rsid w:val="2A1C0C3C"/>
    <w:rsid w:val="2DA12E94"/>
    <w:rsid w:val="3DAB3513"/>
    <w:rsid w:val="3FDE0456"/>
    <w:rsid w:val="42163457"/>
    <w:rsid w:val="42DB3CF8"/>
    <w:rsid w:val="474B08ED"/>
    <w:rsid w:val="4D70427A"/>
    <w:rsid w:val="5B634782"/>
    <w:rsid w:val="5D2469F6"/>
    <w:rsid w:val="63FF035D"/>
    <w:rsid w:val="69F77CEA"/>
    <w:rsid w:val="73414F0C"/>
    <w:rsid w:val="74D24B87"/>
    <w:rsid w:val="75BF414B"/>
    <w:rsid w:val="7E9C688E"/>
    <w:rsid w:val="7EC5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keepNext/>
      <w:keepLines/>
      <w:spacing w:line="360" w:lineRule="auto"/>
      <w:ind w:firstLine="851"/>
      <w:outlineLvl w:val="0"/>
    </w:pPr>
    <w:rPr>
      <w:b/>
      <w:bCs/>
      <w:kern w:val="44"/>
      <w:sz w:val="44"/>
      <w:szCs w:val="44"/>
    </w:rPr>
  </w:style>
  <w:style w:type="paragraph" w:styleId="3">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annotation text"/>
    <w:basedOn w:val="1"/>
    <w:link w:val="30"/>
    <w:unhideWhenUsed/>
    <w:qFormat/>
    <w:uiPriority w:val="0"/>
    <w:pPr>
      <w:jc w:val="left"/>
    </w:pPr>
  </w:style>
  <w:style w:type="paragraph" w:styleId="8">
    <w:name w:val="toc 3"/>
    <w:basedOn w:val="1"/>
    <w:next w:val="1"/>
    <w:unhideWhenUsed/>
    <w:qFormat/>
    <w:uiPriority w:val="39"/>
    <w:pPr>
      <w:spacing w:after="100"/>
      <w:ind w:left="420"/>
    </w:pPr>
  </w:style>
  <w:style w:type="paragraph" w:styleId="9">
    <w:name w:val="Date"/>
    <w:basedOn w:val="1"/>
    <w:next w:val="1"/>
    <w:link w:val="48"/>
    <w:semiHidden/>
    <w:unhideWhenUsed/>
    <w:qFormat/>
    <w:uiPriority w:val="99"/>
    <w:pPr>
      <w:ind w:left="100" w:leftChars="2500"/>
    </w:pPr>
  </w:style>
  <w:style w:type="paragraph" w:styleId="10">
    <w:name w:val="Balloon Text"/>
    <w:basedOn w:val="1"/>
    <w:link w:val="27"/>
    <w:semiHidden/>
    <w:unhideWhenUsed/>
    <w:qFormat/>
    <w:uiPriority w:val="99"/>
    <w:rPr>
      <w:sz w:val="18"/>
      <w:szCs w:val="18"/>
    </w:r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right" w:leader="dot" w:pos="8296"/>
      </w:tabs>
    </w:pPr>
  </w:style>
  <w:style w:type="paragraph" w:styleId="14">
    <w:name w:val="Subtitle"/>
    <w:basedOn w:val="1"/>
    <w:next w:val="1"/>
    <w:link w:val="47"/>
    <w:qFormat/>
    <w:uiPriority w:val="11"/>
    <w:pPr>
      <w:jc w:val="left"/>
      <w:outlineLvl w:val="1"/>
    </w:pPr>
    <w:rPr>
      <w:rFonts w:eastAsia="仿宋"/>
      <w:bCs/>
      <w:kern w:val="28"/>
      <w:szCs w:val="32"/>
    </w:rPr>
  </w:style>
  <w:style w:type="paragraph" w:styleId="15">
    <w:name w:val="toc 2"/>
    <w:basedOn w:val="1"/>
    <w:next w:val="1"/>
    <w:unhideWhenUsed/>
    <w:qFormat/>
    <w:uiPriority w:val="39"/>
    <w:pPr>
      <w:ind w:left="420" w:leftChars="200"/>
    </w:pPr>
  </w:style>
  <w:style w:type="paragraph" w:styleId="16">
    <w:name w:val="Title"/>
    <w:basedOn w:val="1"/>
    <w:next w:val="1"/>
    <w:link w:val="46"/>
    <w:qFormat/>
    <w:uiPriority w:val="10"/>
    <w:pPr>
      <w:spacing w:before="120" w:after="120"/>
      <w:jc w:val="left"/>
      <w:outlineLvl w:val="0"/>
    </w:pPr>
    <w:rPr>
      <w:rFonts w:eastAsia="仿宋" w:asciiTheme="majorHAnsi" w:hAnsiTheme="majorHAnsi" w:cstheme="majorBidi"/>
      <w:b/>
      <w:bCs/>
      <w:szCs w:val="32"/>
    </w:rPr>
  </w:style>
  <w:style w:type="paragraph" w:styleId="17">
    <w:name w:val="annotation subject"/>
    <w:basedOn w:val="7"/>
    <w:next w:val="7"/>
    <w:link w:val="31"/>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iCs/>
    </w:rPr>
  </w:style>
  <w:style w:type="character" w:styleId="22">
    <w:name w:val="Hyperlink"/>
    <w:basedOn w:val="20"/>
    <w:unhideWhenUsed/>
    <w:qFormat/>
    <w:uiPriority w:val="99"/>
    <w:rPr>
      <w:color w:val="0000FF" w:themeColor="hyperlink"/>
      <w:u w:val="single"/>
      <w14:textFill>
        <w14:solidFill>
          <w14:schemeClr w14:val="hlink"/>
        </w14:solidFill>
      </w14:textFill>
    </w:rPr>
  </w:style>
  <w:style w:type="character" w:styleId="23">
    <w:name w:val="annotation reference"/>
    <w:basedOn w:val="20"/>
    <w:unhideWhenUsed/>
    <w:qFormat/>
    <w:uiPriority w:val="0"/>
    <w:rPr>
      <w:sz w:val="21"/>
      <w:szCs w:val="21"/>
    </w:rPr>
  </w:style>
  <w:style w:type="character" w:customStyle="1" w:styleId="24">
    <w:name w:val="页眉 字符"/>
    <w:basedOn w:val="20"/>
    <w:link w:val="12"/>
    <w:qFormat/>
    <w:uiPriority w:val="99"/>
    <w:rPr>
      <w:sz w:val="18"/>
      <w:szCs w:val="18"/>
    </w:rPr>
  </w:style>
  <w:style w:type="character" w:customStyle="1" w:styleId="25">
    <w:name w:val="页脚 字符"/>
    <w:basedOn w:val="20"/>
    <w:link w:val="11"/>
    <w:qFormat/>
    <w:uiPriority w:val="99"/>
    <w:rPr>
      <w:sz w:val="18"/>
      <w:szCs w:val="18"/>
    </w:rPr>
  </w:style>
  <w:style w:type="paragraph" w:styleId="26">
    <w:name w:val="List Paragraph"/>
    <w:basedOn w:val="1"/>
    <w:link w:val="36"/>
    <w:qFormat/>
    <w:uiPriority w:val="0"/>
    <w:pPr>
      <w:ind w:firstLine="420" w:firstLineChars="200"/>
    </w:pPr>
  </w:style>
  <w:style w:type="character" w:customStyle="1" w:styleId="27">
    <w:name w:val="批注框文本 字符"/>
    <w:basedOn w:val="20"/>
    <w:link w:val="10"/>
    <w:semiHidden/>
    <w:qFormat/>
    <w:uiPriority w:val="99"/>
    <w:rPr>
      <w:sz w:val="18"/>
      <w:szCs w:val="18"/>
    </w:rPr>
  </w:style>
  <w:style w:type="character" w:customStyle="1" w:styleId="28">
    <w:name w:val="标题 1 字符"/>
    <w:basedOn w:val="20"/>
    <w:link w:val="2"/>
    <w:qFormat/>
    <w:uiPriority w:val="9"/>
    <w:rPr>
      <w:b/>
      <w:bCs/>
      <w:kern w:val="44"/>
      <w:sz w:val="44"/>
      <w:szCs w:val="44"/>
    </w:rPr>
  </w:style>
  <w:style w:type="paragraph" w:customStyle="1" w:styleId="29">
    <w:name w:val="TOC Heading"/>
    <w:basedOn w:val="2"/>
    <w:next w:val="1"/>
    <w:semiHidden/>
    <w:unhideWhenUsed/>
    <w:qFormat/>
    <w:uiPriority w:val="39"/>
    <w:pPr>
      <w:widowControl/>
      <w:spacing w:before="48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文字 字符"/>
    <w:basedOn w:val="20"/>
    <w:link w:val="7"/>
    <w:qFormat/>
    <w:uiPriority w:val="0"/>
  </w:style>
  <w:style w:type="character" w:customStyle="1" w:styleId="31">
    <w:name w:val="批注主题 字符"/>
    <w:basedOn w:val="30"/>
    <w:link w:val="17"/>
    <w:semiHidden/>
    <w:qFormat/>
    <w:uiPriority w:val="99"/>
    <w:rPr>
      <w:b/>
      <w:bCs/>
    </w:rPr>
  </w:style>
  <w:style w:type="table" w:customStyle="1" w:styleId="32">
    <w:name w:val="网格型1"/>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
    <w:name w:val="标题 2 字符"/>
    <w:basedOn w:val="20"/>
    <w:link w:val="3"/>
    <w:qFormat/>
    <w:uiPriority w:val="9"/>
    <w:rPr>
      <w:rFonts w:asciiTheme="majorHAnsi" w:hAnsiTheme="majorHAnsi" w:eastAsiaTheme="majorEastAsia" w:cstheme="majorBidi"/>
      <w:b/>
      <w:bCs/>
      <w:sz w:val="32"/>
      <w:szCs w:val="32"/>
    </w:rPr>
  </w:style>
  <w:style w:type="character" w:customStyle="1" w:styleId="34">
    <w:name w:val="标题 3 字符"/>
    <w:basedOn w:val="20"/>
    <w:link w:val="4"/>
    <w:qFormat/>
    <w:uiPriority w:val="9"/>
    <w:rPr>
      <w:b/>
      <w:bCs/>
      <w:sz w:val="32"/>
      <w:szCs w:val="32"/>
    </w:rPr>
  </w:style>
  <w:style w:type="character" w:customStyle="1" w:styleId="35">
    <w:name w:val="标题 4 字符"/>
    <w:basedOn w:val="20"/>
    <w:link w:val="5"/>
    <w:qFormat/>
    <w:uiPriority w:val="9"/>
    <w:rPr>
      <w:rFonts w:asciiTheme="majorHAnsi" w:hAnsiTheme="majorHAnsi" w:eastAsiaTheme="majorEastAsia" w:cstheme="majorBidi"/>
      <w:b/>
      <w:bCs/>
      <w:sz w:val="28"/>
      <w:szCs w:val="28"/>
    </w:rPr>
  </w:style>
  <w:style w:type="character" w:customStyle="1" w:styleId="36">
    <w:name w:val="列表段落 字符"/>
    <w:link w:val="26"/>
    <w:qFormat/>
    <w:uiPriority w:val="34"/>
  </w:style>
  <w:style w:type="character" w:customStyle="1" w:styleId="37">
    <w:name w:val="Subtle Reference"/>
    <w:qFormat/>
    <w:uiPriority w:val="31"/>
    <w:rPr>
      <w:smallCaps/>
      <w:color w:val="5A5A5A"/>
    </w:rPr>
  </w:style>
  <w:style w:type="paragraph" w:customStyle="1" w:styleId="38">
    <w:name w:val="Default"/>
    <w:qFormat/>
    <w:uiPriority w:val="0"/>
    <w:pPr>
      <w:widowControl w:val="0"/>
      <w:autoSpaceDE w:val="0"/>
      <w:autoSpaceDN w:val="0"/>
      <w:adjustRightInd w:val="0"/>
    </w:pPr>
    <w:rPr>
      <w:rFonts w:ascii="宋体" w:hAnsi="宋体" w:eastAsia="宋体" w:cs="宋体"/>
      <w:color w:val="000000"/>
      <w:kern w:val="0"/>
      <w:sz w:val="24"/>
      <w:szCs w:val="24"/>
      <w:lang w:val="en-US" w:eastAsia="zh-CN" w:bidi="ar-SA"/>
    </w:rPr>
  </w:style>
  <w:style w:type="character" w:customStyle="1" w:styleId="39">
    <w:name w:val="二级条标题 Char"/>
    <w:basedOn w:val="20"/>
    <w:link w:val="40"/>
    <w:qFormat/>
    <w:uiPriority w:val="0"/>
    <w:rPr>
      <w:rFonts w:ascii="黑体" w:eastAsia="黑体"/>
      <w:szCs w:val="21"/>
    </w:rPr>
  </w:style>
  <w:style w:type="paragraph" w:customStyle="1" w:styleId="40">
    <w:name w:val="二级条标题"/>
    <w:basedOn w:val="1"/>
    <w:next w:val="1"/>
    <w:link w:val="39"/>
    <w:qFormat/>
    <w:uiPriority w:val="0"/>
    <w:pPr>
      <w:widowControl/>
      <w:numPr>
        <w:ilvl w:val="2"/>
        <w:numId w:val="1"/>
      </w:numPr>
      <w:spacing w:before="50" w:beforeLines="50" w:after="50" w:afterLines="50"/>
      <w:jc w:val="left"/>
      <w:outlineLvl w:val="3"/>
    </w:pPr>
    <w:rPr>
      <w:rFonts w:ascii="黑体" w:eastAsia="黑体"/>
      <w:szCs w:val="21"/>
    </w:rPr>
  </w:style>
  <w:style w:type="character" w:customStyle="1" w:styleId="41">
    <w:name w:val="段 Char"/>
    <w:link w:val="42"/>
    <w:qFormat/>
    <w:uiPriority w:val="0"/>
    <w:rPr>
      <w:rFonts w:ascii="宋体"/>
    </w:rPr>
  </w:style>
  <w:style w:type="paragraph" w:customStyle="1" w:styleId="42">
    <w:name w:val="段"/>
    <w:link w:val="41"/>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43">
    <w:name w:val="一级条标题 Char"/>
    <w:link w:val="44"/>
    <w:qFormat/>
    <w:uiPriority w:val="0"/>
    <w:rPr>
      <w:rFonts w:ascii="黑体" w:eastAsia="黑体"/>
      <w:szCs w:val="21"/>
    </w:rPr>
  </w:style>
  <w:style w:type="paragraph" w:customStyle="1" w:styleId="44">
    <w:name w:val="一级条标题"/>
    <w:next w:val="42"/>
    <w:link w:val="43"/>
    <w:qFormat/>
    <w:uiPriority w:val="0"/>
    <w:pPr>
      <w:numPr>
        <w:ilvl w:val="1"/>
        <w:numId w:val="1"/>
      </w:numPr>
      <w:spacing w:before="156" w:beforeLines="50" w:after="156" w:afterLines="50"/>
      <w:outlineLvl w:val="2"/>
    </w:pPr>
    <w:rPr>
      <w:rFonts w:ascii="黑体" w:eastAsia="黑体" w:hAnsiTheme="minorHAnsi" w:cstheme="minorBidi"/>
      <w:kern w:val="2"/>
      <w:sz w:val="21"/>
      <w:szCs w:val="21"/>
      <w:lang w:val="en-US" w:eastAsia="zh-CN" w:bidi="ar-SA"/>
    </w:rPr>
  </w:style>
  <w:style w:type="paragraph" w:customStyle="1" w:styleId="45">
    <w:name w:val="正文表标题"/>
    <w:next w:val="42"/>
    <w:qFormat/>
    <w:uiPriority w:val="0"/>
    <w:pPr>
      <w:numPr>
        <w:ilvl w:val="0"/>
        <w:numId w:val="2"/>
      </w:numPr>
      <w:tabs>
        <w:tab w:val="left" w:pos="360"/>
      </w:tabs>
      <w:spacing w:before="156" w:beforeLines="50" w:after="156" w:afterLines="50"/>
      <w:jc w:val="center"/>
    </w:pPr>
    <w:rPr>
      <w:rFonts w:ascii="黑体" w:hAnsi="Times New Roman" w:eastAsia="黑体" w:cs="Times New Roman"/>
      <w:kern w:val="0"/>
      <w:sz w:val="21"/>
      <w:szCs w:val="20"/>
      <w:lang w:val="en-US" w:eastAsia="zh-CN" w:bidi="ar-SA"/>
    </w:rPr>
  </w:style>
  <w:style w:type="character" w:customStyle="1" w:styleId="46">
    <w:name w:val="标题 字符"/>
    <w:basedOn w:val="20"/>
    <w:link w:val="16"/>
    <w:qFormat/>
    <w:uiPriority w:val="10"/>
    <w:rPr>
      <w:rFonts w:eastAsia="仿宋" w:asciiTheme="majorHAnsi" w:hAnsiTheme="majorHAnsi" w:cstheme="majorBidi"/>
      <w:b/>
      <w:bCs/>
      <w:szCs w:val="32"/>
    </w:rPr>
  </w:style>
  <w:style w:type="character" w:customStyle="1" w:styleId="47">
    <w:name w:val="副标题 字符"/>
    <w:basedOn w:val="20"/>
    <w:link w:val="14"/>
    <w:qFormat/>
    <w:uiPriority w:val="11"/>
    <w:rPr>
      <w:rFonts w:eastAsia="仿宋"/>
      <w:bCs/>
      <w:kern w:val="28"/>
      <w:szCs w:val="32"/>
    </w:rPr>
  </w:style>
  <w:style w:type="character" w:customStyle="1" w:styleId="48">
    <w:name w:val="日期 字符"/>
    <w:basedOn w:val="20"/>
    <w:link w:val="9"/>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x751f__x6548__x65f6__x95f4_ xmlns="54caf563-3cac-4eba-ba97-9d8cc9261f43" xsi:nil="true"/>
    <_x7c7b__x578b__x540d__x79f0_ xmlns="54caf563-3cac-4eba-ba97-9d8cc9261f43" xsi:nil="true"/>
    <_x5bc6__x7ea7_ xmlns="54caf563-3cac-4eba-ba97-9d8cc9261f43">内部公开</_x5bc6__x7ea7_>
    <_x5236__x5ea6__x7f16__x53f7_ xmlns="54caf563-3cac-4eba-ba97-9d8cc9261f43" xsi:nil="true"/>
    <_x7f16__x5236__x90e8__x95e8_ xmlns="54caf563-3cac-4eba-ba97-9d8cc9261f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0548065588302B4AB55B408BF5C75726" ma:contentTypeVersion="5" ma:contentTypeDescription="新建文档。" ma:contentTypeScope="" ma:versionID="47ee846ad1359e4d8241eccdfb91c4fe">
  <xsd:schema xmlns:xsd="http://www.w3.org/2001/XMLSchema" xmlns:p="http://schemas.microsoft.com/office/2006/metadata/properties" xmlns:ns2="54caf563-3cac-4eba-ba97-9d8cc9261f43" targetNamespace="http://schemas.microsoft.com/office/2006/metadata/properties" ma:root="true" ma:fieldsID="34cb541e9eb646a7adc0b1366ca7d611" ns2:_="">
    <xsd:import namespace="54caf563-3cac-4eba-ba97-9d8cc9261f43"/>
    <xsd:element name="properties">
      <xsd:complexType>
        <xsd:sequence>
          <xsd:element name="documentManagement">
            <xsd:complexType>
              <xsd:all>
                <xsd:element ref="ns2:_x5236__x5ea6__x7f16__x53f7_" minOccurs="0"/>
                <xsd:element ref="ns2:_x7c7b__x578b__x540d__x79f0_" minOccurs="0"/>
                <xsd:element ref="ns2:_x7f16__x5236__x90e8__x95e8_" minOccurs="0"/>
                <xsd:element ref="ns2:_x5bc6__x7ea7_" minOccurs="0"/>
                <xsd:element ref="ns2:_x751f__x6548__x65f6__x95f4_" minOccurs="0"/>
              </xsd:all>
            </xsd:complexType>
          </xsd:element>
        </xsd:sequence>
      </xsd:complexType>
    </xsd:element>
  </xsd:schema>
  <xsd:schema xmlns:xsd="http://www.w3.org/2001/XMLSchema" xmlns:dms="http://schemas.microsoft.com/office/2006/documentManagement/types" targetNamespace="54caf563-3cac-4eba-ba97-9d8cc9261f43" elementFormDefault="qualified">
    <xsd:import namespace="http://schemas.microsoft.com/office/2006/documentManagement/types"/>
    <xsd:element name="_x5236__x5ea6__x7f16__x53f7_" ma:index="8" nillable="true" ma:displayName="制度编号" ma:internalName="_x5236__x5ea6__x7f16__x53f7_">
      <xsd:simpleType>
        <xsd:restriction base="dms:Text">
          <xsd:maxLength value="255"/>
        </xsd:restriction>
      </xsd:simpleType>
    </xsd:element>
    <xsd:element name="_x7c7b__x578b__x540d__x79f0_" ma:index="9" nillable="true" ma:displayName="类型名称" ma:internalName="_x7c7b__x578b__x540d__x79f0_">
      <xsd:simpleType>
        <xsd:restriction base="dms:Text">
          <xsd:maxLength value="255"/>
        </xsd:restriction>
      </xsd:simpleType>
    </xsd:element>
    <xsd:element name="_x7f16__x5236__x90e8__x95e8_" ma:index="10" nillable="true" ma:displayName="编制部门" ma:internalName="_x7f16__x5236__x90e8__x95e8_">
      <xsd:simpleType>
        <xsd:restriction base="dms:Text">
          <xsd:maxLength value="255"/>
        </xsd:restriction>
      </xsd:simpleType>
    </xsd:element>
    <xsd:element name="_x5bc6__x7ea7_" ma:index="11" nillable="true" ma:displayName="密级" ma:default="内部公开" ma:format="Dropdown" ma:internalName="_x5bc6__x7ea7_">
      <xsd:simpleType>
        <xsd:restriction base="dms:Choice">
          <xsd:enumeration value="内部公开"/>
          <xsd:enumeration value="机密"/>
          <xsd:enumeration value="绝密"/>
        </xsd:restriction>
      </xsd:simpleType>
    </xsd:element>
    <xsd:element name="_x751f__x6548__x65f6__x95f4_" ma:index="12" nillable="true" ma:displayName="生效时间" ma:format="DateOnly" ma:internalName="_x751f__x6548_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ma:readOnly="true"/>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71C13-384A-4957-996C-E6EE1D02BC78}">
  <ds:schemaRefs/>
</ds:datastoreItem>
</file>

<file path=customXml/itemProps2.xml><?xml version="1.0" encoding="utf-8"?>
<ds:datastoreItem xmlns:ds="http://schemas.openxmlformats.org/officeDocument/2006/customXml" ds:itemID="{7F3C6270-6F3E-4EC1-9036-216FE81BA55C}">
  <ds:schemaRefs/>
</ds:datastoreItem>
</file>

<file path=customXml/itemProps3.xml><?xml version="1.0" encoding="utf-8"?>
<ds:datastoreItem xmlns:ds="http://schemas.openxmlformats.org/officeDocument/2006/customXml" ds:itemID="{3A4872C4-1411-415D-84AF-5827D77275CF}">
  <ds:schemaRefs/>
</ds:datastoreItem>
</file>

<file path=customXml/itemProps4.xml><?xml version="1.0" encoding="utf-8"?>
<ds:datastoreItem xmlns:ds="http://schemas.openxmlformats.org/officeDocument/2006/customXml" ds:itemID="{DE36865F-D601-494D-9A52-1F998FE80C8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7284</Words>
  <Characters>8534</Characters>
  <Lines>79</Lines>
  <Paragraphs>22</Paragraphs>
  <TotalTime>231</TotalTime>
  <ScaleCrop>false</ScaleCrop>
  <LinksUpToDate>false</LinksUpToDate>
  <CharactersWithSpaces>8664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2022-07-17T16:49:00Z</dcterms:created>
  <dc:creator>v-yangsq</dc:creator>
  <cp:lastModifiedBy>Elinor</cp:lastModifiedBy>
  <cp:lastPrinted>2022-07-21T09:01:00Z</cp:lastPrinted>
  <dcterms:modified xsi:type="dcterms:W3CDTF">2026-03-25T06:58:49Z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IPGFID">
    <vt:lpwstr>[DocID]=2CD32122-CCE5-4A54-9612-7DF8B570458D</vt:lpwstr>
  </property>
  <property fmtid="{D5CDD505-2E9C-101B-9397-08002B2CF9AE}" pid="3" name="_IPGFLOW_P-B5B0_E-1_FP-1_SP-1_CV-980AACF6_CN-62E88906">
    <vt:lpwstr>Fc7ErNTIH/EiKUSzCU1u2fZdMWkAXd+zaBBEqwbBq1A68HHTncxGImAJFz3+E5JIXfDY5Gdqot56AdZ2KtmsB/Haf9kaejzs/vm6cZSyx4QODKFhoja5mGDCjaPKNWOZcMSGrYsLtcfTJ6MsRGxsjxiURl7X99cPe+k2rViUHsd61bqp2dfrNwkPz5mZCAwJ9fRAUemHGdRGExqAKu9bkwDfH1VNNjud4M5q+UKLw/Y0JuZII2BXj2xlDQlui1S</vt:lpwstr>
  </property>
  <property fmtid="{D5CDD505-2E9C-101B-9397-08002B2CF9AE}" pid="4" name="_IPGFLOW_P-B5B0_E-1_FP-1_SP-2_CV-E1E08C85_CN-109A9B1D">
    <vt:lpwstr>OFbetFWRd1LNocprlV+dJ5r5apvsFCHX3nC7UtTcIGO+AcTIC4g/KTwq+HxgSwzI9Cv9XJxHS4+g4Tb7Bc4R7DYw74gZ5OMthTHaMAhrO+Rh6SiRFrVxs28O6tFfKfrfSAtqTph4z+EioWZ9RHFmS7Bbnnuy+jvTA6pSDy904UAGR0N7V3HkLh9XokTba67K0</vt:lpwstr>
  </property>
  <property fmtid="{D5CDD505-2E9C-101B-9397-08002B2CF9AE}" pid="5" name="_IPGFLOW_P-B5B0_E-0_FP-1_CV-60DDE677_CN-8045E800">
    <vt:lpwstr>DPSPMK|3|448|2|0</vt:lpwstr>
  </property>
  <property fmtid="{D5CDD505-2E9C-101B-9397-08002B2CF9AE}" pid="6" name="_IPGFLOW_P-B5B0_E-0_CV-8A14B2B5_CN-33B697BE">
    <vt:lpwstr>DPFPMK|3|50|2|0</vt:lpwstr>
  </property>
  <property fmtid="{D5CDD505-2E9C-101B-9397-08002B2CF9AE}" pid="7" name="_IPGFLOW_P-B5B0_E-1_FP-2_SP-1_CV-EFF56CA_CN-2E91EDF4">
    <vt:lpwstr>Fc7ErNTIH/EiKUSzCU1u2fqst4S9R7vDr3LLdrRIYsEyMrYbrEopKU5BfyCVOuFfm6Eb8ZGJOY5HF1PR8LgTEsK5fiFSbsGPmmUH7/owOpEVQvKZ8kNLXeblPacsg57mM1vfzaDFimTPRAOXyIegoiotHvcpywahd+unJzXit+QWfkhcUbK0Z6L/Op0aVKIFP5Qmss8sgR5s4B6rzOO1XW1VY5zQeJL61sHrmNCliyeIrkmzwGGcX4M6Ch28UcI</vt:lpwstr>
  </property>
  <property fmtid="{D5CDD505-2E9C-101B-9397-08002B2CF9AE}" pid="8" name="_IPGFLOW_P-B5B0_E-1_FP-2_SP-2_CV-9059F01F_CN-643F3CCD">
    <vt:lpwstr>8m53MIblchgwJKe/TGb7qRkg4ePAOcXHphM1rjdDdgHD5PjuluI6R05HGHpr+/wzWzFdabcgLbx0oTT13w3iCVTaE4MU92K60hB+Ko5z49FkhjY5egFiD9kxyGRX1FrskscLOJPpS09dW/JEXktCCFBUPwXg22NQbKyYL7uOuT7M=</vt:lpwstr>
  </property>
  <property fmtid="{D5CDD505-2E9C-101B-9397-08002B2CF9AE}" pid="9" name="_IPGFLOW_P-B5B0_E-0_FP-2_CV-B684056A_CN-DAD0854">
    <vt:lpwstr>DPSPMK|3|428|2|0</vt:lpwstr>
  </property>
  <property fmtid="{D5CDD505-2E9C-101B-9397-08002B2CF9AE}" pid="10" name="KSOProductBuildVer">
    <vt:lpwstr>2052-12.1.0.25225</vt:lpwstr>
  </property>
  <property fmtid="{D5CDD505-2E9C-101B-9397-08002B2CF9AE}" pid="11" name="ICV">
    <vt:lpwstr>18222B541F4546FD94EFFDCE992A1D38_13</vt:lpwstr>
  </property>
  <property fmtid="{D5CDD505-2E9C-101B-9397-08002B2CF9AE}" pid="12" name="KSOTemplateDocerSaveRecord">
    <vt:lpwstr>eyJoZGlkIjoiNWY2NTU3ZmE3ZGM1NmEzNTcwNmY2MzZlOGQwY2NiYzciLCJ1c2VySWQiOiIzNzQ4NzEwMzcifQ==</vt:lpwstr>
  </property>
</Properties>
</file>